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F7455" w14:textId="73E064E7" w:rsidR="00971BE3" w:rsidRPr="003E0C6F" w:rsidRDefault="00971BE3" w:rsidP="00971BE3">
      <w:pPr>
        <w:spacing w:before="120" w:after="0" w:line="240" w:lineRule="auto"/>
        <w:jc w:val="both"/>
        <w:rPr>
          <w:b/>
          <w:bCs/>
          <w:sz w:val="24"/>
          <w:szCs w:val="24"/>
          <w:lang w:val="es-ES"/>
        </w:rPr>
      </w:pPr>
      <w:r w:rsidRPr="00971BE3"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D039457" wp14:editId="028BF7F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29485" cy="790575"/>
            <wp:effectExtent l="0" t="0" r="0" b="9525"/>
            <wp:wrapTopAndBottom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E5962A2-42CF-79CE-E032-26131FA215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E5962A2-42CF-79CE-E032-26131FA215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948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0C6F">
        <w:rPr>
          <w:b/>
          <w:bCs/>
          <w:sz w:val="24"/>
          <w:szCs w:val="24"/>
          <w:lang w:val="es-ES"/>
        </w:rPr>
        <w:t xml:space="preserve">INSTRUMENTO DE FINANCIAMIENTO EN </w:t>
      </w:r>
      <w:r>
        <w:rPr>
          <w:b/>
          <w:bCs/>
          <w:sz w:val="24"/>
          <w:szCs w:val="24"/>
          <w:lang w:val="es-ES"/>
        </w:rPr>
        <w:t>USD</w:t>
      </w:r>
      <w:r w:rsidRPr="003E0C6F">
        <w:rPr>
          <w:b/>
          <w:bCs/>
          <w:sz w:val="24"/>
          <w:szCs w:val="24"/>
          <w:lang w:val="es-ES"/>
        </w:rPr>
        <w:t xml:space="preserve"> PARA </w:t>
      </w:r>
      <w:r>
        <w:rPr>
          <w:b/>
          <w:bCs/>
          <w:sz w:val="24"/>
          <w:szCs w:val="24"/>
          <w:lang w:val="es-ES"/>
        </w:rPr>
        <w:t>NUEVOS ACTORES ECONÓMICOS</w:t>
      </w:r>
    </w:p>
    <w:p w14:paraId="61997F58" w14:textId="6AEBD1E6" w:rsidR="00971BE3" w:rsidRPr="00971BE3" w:rsidRDefault="003E0C6F" w:rsidP="00971BE3">
      <w:pPr>
        <w:spacing w:after="240" w:line="240" w:lineRule="auto"/>
        <w:jc w:val="both"/>
        <w:rPr>
          <w:lang w:val="es-ES"/>
        </w:rPr>
      </w:pPr>
      <w:r w:rsidRPr="00971BE3">
        <w:rPr>
          <w:lang w:val="es-ES"/>
        </w:rPr>
        <w:t xml:space="preserve">NOTA CONCEPTUAL </w:t>
      </w:r>
      <w:r w:rsidR="00971BE3" w:rsidRPr="00971BE3">
        <w:rPr>
          <w:lang w:val="es-ES"/>
        </w:rPr>
        <w:t>– PROYECTO “NUEVOS ACTORES ECONÓMICOS”</w:t>
      </w:r>
    </w:p>
    <w:p w14:paraId="36EA974E" w14:textId="1212F257" w:rsidR="003E0C6F" w:rsidRPr="003E0C6F" w:rsidRDefault="003E0C6F" w:rsidP="003E0C6F">
      <w:pPr>
        <w:spacing w:before="240" w:after="120" w:line="240" w:lineRule="auto"/>
        <w:jc w:val="both"/>
        <w:rPr>
          <w:b/>
          <w:bCs/>
          <w:lang w:val="es-ES"/>
        </w:rPr>
      </w:pPr>
      <w:r w:rsidRPr="003E0C6F">
        <w:rPr>
          <w:b/>
          <w:bCs/>
          <w:lang w:val="es-ES"/>
        </w:rPr>
        <w:t>Contexto</w:t>
      </w:r>
    </w:p>
    <w:p w14:paraId="1BAF2010" w14:textId="07AD5DCE" w:rsidR="003947D8" w:rsidRPr="003947D8" w:rsidRDefault="003947D8" w:rsidP="003947D8">
      <w:pPr>
        <w:spacing w:before="120" w:after="120" w:line="240" w:lineRule="auto"/>
        <w:jc w:val="both"/>
        <w:rPr>
          <w:lang w:val="es-ES"/>
        </w:rPr>
      </w:pPr>
      <w:r w:rsidRPr="003947D8">
        <w:rPr>
          <w:lang w:val="es-ES"/>
        </w:rPr>
        <w:t>Las MiPymes</w:t>
      </w:r>
      <w:r w:rsidR="005319EC">
        <w:rPr>
          <w:lang w:val="es-ES"/>
        </w:rPr>
        <w:t xml:space="preserve"> en Cuba</w:t>
      </w:r>
      <w:r w:rsidRPr="003947D8">
        <w:rPr>
          <w:lang w:val="es-ES"/>
        </w:rPr>
        <w:t xml:space="preserve"> han demostrado desde su surgimiento </w:t>
      </w:r>
      <w:r>
        <w:rPr>
          <w:lang w:val="es-ES"/>
        </w:rPr>
        <w:t xml:space="preserve">en 2021 </w:t>
      </w:r>
      <w:r w:rsidRPr="003947D8">
        <w:rPr>
          <w:lang w:val="es-ES"/>
        </w:rPr>
        <w:t>un impacto significativo en la economía nacional. Su contribución se refleja en áreas como la oferta de bienes y servicios, la generación de empleo, el aumento de los ingresos de la población</w:t>
      </w:r>
      <w:r w:rsidR="009833D1">
        <w:rPr>
          <w:lang w:val="es-ES"/>
        </w:rPr>
        <w:t xml:space="preserve"> y </w:t>
      </w:r>
      <w:r w:rsidRPr="003947D8">
        <w:rPr>
          <w:lang w:val="es-ES"/>
        </w:rPr>
        <w:t>el presupuesto estatal</w:t>
      </w:r>
      <w:r w:rsidR="009833D1">
        <w:rPr>
          <w:lang w:val="es-ES"/>
        </w:rPr>
        <w:t>,</w:t>
      </w:r>
      <w:r w:rsidR="00873E0E">
        <w:rPr>
          <w:lang w:val="es-ES"/>
        </w:rPr>
        <w:t xml:space="preserve"> y</w:t>
      </w:r>
      <w:r w:rsidRPr="003947D8">
        <w:rPr>
          <w:lang w:val="es-ES"/>
        </w:rPr>
        <w:t xml:space="preserve"> el impulso al desarrollo territorial. Según estimaciones del Ministerio de Economía y Planificación (MEP), actualmente existen más de 11 mil MiPymes</w:t>
      </w:r>
      <w:r w:rsidR="00E74628">
        <w:rPr>
          <w:lang w:val="es-ES"/>
        </w:rPr>
        <w:t>, casi 500 cooperativas no agropecuarias y unos 1700 PDL</w:t>
      </w:r>
      <w:r w:rsidR="00E74628">
        <w:rPr>
          <w:rStyle w:val="FootnoteReference"/>
          <w:lang w:val="es-ES"/>
        </w:rPr>
        <w:footnoteReference w:id="1"/>
      </w:r>
      <w:r w:rsidR="00E74628">
        <w:rPr>
          <w:lang w:val="es-ES"/>
        </w:rPr>
        <w:t xml:space="preserve">. Las </w:t>
      </w:r>
      <w:r w:rsidR="00AE4641">
        <w:rPr>
          <w:lang w:val="es-ES"/>
        </w:rPr>
        <w:t xml:space="preserve">MiPymes </w:t>
      </w:r>
      <w:r w:rsidRPr="003947D8">
        <w:rPr>
          <w:lang w:val="es-ES"/>
        </w:rPr>
        <w:t>contribuyen con aproximadamente el 13% del PIB y emplean a más de 260 mil personas</w:t>
      </w:r>
      <w:r w:rsidR="00873E0E">
        <w:rPr>
          <w:lang w:val="es-ES"/>
        </w:rPr>
        <w:t xml:space="preserve"> (</w:t>
      </w:r>
      <w:r w:rsidRPr="003947D8">
        <w:rPr>
          <w:lang w:val="es-ES"/>
        </w:rPr>
        <w:t>6% del total de ocupados en el país</w:t>
      </w:r>
      <w:r w:rsidR="00873E0E">
        <w:rPr>
          <w:lang w:val="es-ES"/>
        </w:rPr>
        <w:t>)</w:t>
      </w:r>
      <w:r w:rsidRPr="003947D8">
        <w:rPr>
          <w:lang w:val="es-ES"/>
        </w:rPr>
        <w:t>.</w:t>
      </w:r>
    </w:p>
    <w:p w14:paraId="669431D2" w14:textId="77777777" w:rsidR="00315F59" w:rsidRDefault="003947D8" w:rsidP="003947D8">
      <w:pPr>
        <w:spacing w:before="120" w:after="120" w:line="240" w:lineRule="auto"/>
        <w:jc w:val="both"/>
        <w:rPr>
          <w:lang w:val="es-ES"/>
        </w:rPr>
      </w:pPr>
      <w:r w:rsidRPr="003947D8">
        <w:rPr>
          <w:lang w:val="es-ES"/>
        </w:rPr>
        <w:t xml:space="preserve">No obstante, persisten importantes desafíos regulatorios y de fomento que limitan una mayor contribución de este sector a la recuperación económica y la transformación productiva del país. </w:t>
      </w:r>
      <w:r w:rsidR="001064CC">
        <w:rPr>
          <w:lang w:val="es-ES"/>
        </w:rPr>
        <w:t>E</w:t>
      </w:r>
      <w:r w:rsidR="00A80F26" w:rsidRPr="00A80F26">
        <w:rPr>
          <w:lang w:val="es-ES"/>
        </w:rPr>
        <w:t>studios académicos realizados entre 2016 y 2020 evidencian que la principal fuente de financiamiento del sector privado cubano proviene de recursos propios y apoyo de familiares y amigos, representando alrededor del 60% en promedio, una tendencia común en muchos países, especialmente en América Latina y el Caribe.</w:t>
      </w:r>
    </w:p>
    <w:p w14:paraId="6FD70C36" w14:textId="60992C56" w:rsidR="003249F6" w:rsidRDefault="00A80F26" w:rsidP="003947D8">
      <w:pPr>
        <w:spacing w:before="120" w:after="120" w:line="240" w:lineRule="auto"/>
        <w:jc w:val="both"/>
        <w:rPr>
          <w:lang w:val="es-ES"/>
        </w:rPr>
      </w:pPr>
      <w:r w:rsidRPr="00A80F26">
        <w:rPr>
          <w:lang w:val="es-ES"/>
        </w:rPr>
        <w:t xml:space="preserve">Estos estudios identifican diversas restricciones de demanda (por qué los actores privados no acuden a los bancos) y de oferta (por qué los bancos no otorgan más créditos a estos actores), que explican este comportamiento. Entre las restricciones de oferta, en un contexto de inconvertibilidad de la moneda nacional y escasez de </w:t>
      </w:r>
      <w:r w:rsidR="00D55684">
        <w:rPr>
          <w:lang w:val="es-ES"/>
        </w:rPr>
        <w:t>insumos</w:t>
      </w:r>
      <w:r w:rsidRPr="00A80F26">
        <w:rPr>
          <w:lang w:val="es-ES"/>
        </w:rPr>
        <w:t xml:space="preserve"> en pesos cubanos, un factor clave es la </w:t>
      </w:r>
      <w:r w:rsidR="00CD582A">
        <w:rPr>
          <w:lang w:val="es-ES"/>
        </w:rPr>
        <w:t>escasa</w:t>
      </w:r>
      <w:r w:rsidRPr="00A80F26">
        <w:rPr>
          <w:lang w:val="es-ES"/>
        </w:rPr>
        <w:t xml:space="preserve"> disponibilidad de créditos en divisas para este sector.</w:t>
      </w:r>
    </w:p>
    <w:p w14:paraId="11BD788E" w14:textId="5DA3FF44" w:rsidR="00F83E3E" w:rsidRPr="00F83E3E" w:rsidRDefault="003947D8" w:rsidP="003947D8">
      <w:pPr>
        <w:spacing w:before="120" w:after="120" w:line="240" w:lineRule="auto"/>
        <w:jc w:val="both"/>
        <w:rPr>
          <w:lang w:val="es-ES"/>
        </w:rPr>
      </w:pPr>
      <w:r w:rsidRPr="003947D8">
        <w:rPr>
          <w:lang w:val="es-ES"/>
        </w:rPr>
        <w:t xml:space="preserve">En este contexto, el proyecto “Nuevos Actores Económicos”, financiado por la Unión Europea e implementado por la Agencia Francesa para el Desarrollo (AFD) y el Programa de las Naciones Unidas para el Desarrollo (PNUD), </w:t>
      </w:r>
      <w:r w:rsidR="000A48FD">
        <w:rPr>
          <w:lang w:val="es-ES"/>
        </w:rPr>
        <w:t>se propone</w:t>
      </w:r>
      <w:r w:rsidRPr="003947D8">
        <w:rPr>
          <w:lang w:val="es-ES"/>
        </w:rPr>
        <w:t xml:space="preserve"> diseñar un producto de financiamiento en divisas dirigido a </w:t>
      </w:r>
      <w:r w:rsidR="00BA68BF">
        <w:rPr>
          <w:lang w:val="es-ES"/>
        </w:rPr>
        <w:t>los nuevos actores económicos</w:t>
      </w:r>
      <w:r w:rsidR="00765899">
        <w:rPr>
          <w:lang w:val="es-ES"/>
        </w:rPr>
        <w:t>: MiPymes, CNA, PDL</w:t>
      </w:r>
      <w:r w:rsidRPr="003947D8">
        <w:rPr>
          <w:lang w:val="es-ES"/>
        </w:rPr>
        <w:t xml:space="preserve">. Esta iniciativa se desarrollará en colaboración con el Banco Central de Cuba (BCC) y </w:t>
      </w:r>
      <w:r w:rsidR="00D9790B">
        <w:rPr>
          <w:lang w:val="es-ES"/>
        </w:rPr>
        <w:t>otras</w:t>
      </w:r>
      <w:r w:rsidRPr="003947D8">
        <w:rPr>
          <w:lang w:val="es-ES"/>
        </w:rPr>
        <w:t xml:space="preserve"> autoridades nacionales. La presente nota expone las ideas generales de </w:t>
      </w:r>
      <w:r w:rsidR="000A48FD">
        <w:rPr>
          <w:lang w:val="es-ES"/>
        </w:rPr>
        <w:t>la</w:t>
      </w:r>
      <w:r w:rsidRPr="003947D8">
        <w:rPr>
          <w:lang w:val="es-ES"/>
        </w:rPr>
        <w:t xml:space="preserve"> propuesta.</w:t>
      </w:r>
    </w:p>
    <w:p w14:paraId="7C8AE0FA" w14:textId="7DCC6181" w:rsidR="003E0C6F" w:rsidRPr="003E0C6F" w:rsidRDefault="003E0C6F" w:rsidP="003E0C6F">
      <w:pPr>
        <w:spacing w:before="240" w:after="120" w:line="240" w:lineRule="auto"/>
        <w:jc w:val="both"/>
        <w:rPr>
          <w:b/>
          <w:bCs/>
          <w:lang w:val="es-ES"/>
        </w:rPr>
      </w:pPr>
      <w:r w:rsidRPr="003E0C6F">
        <w:rPr>
          <w:b/>
          <w:bCs/>
          <w:lang w:val="es-ES"/>
        </w:rPr>
        <w:t>Objetivo</w:t>
      </w:r>
    </w:p>
    <w:p w14:paraId="4B2260AE" w14:textId="12A7A1F8" w:rsidR="003E0C6F" w:rsidRDefault="00223238" w:rsidP="003E0C6F">
      <w:pPr>
        <w:spacing w:before="120" w:after="120" w:line="240" w:lineRule="auto"/>
        <w:jc w:val="both"/>
        <w:rPr>
          <w:lang w:val="es-ES"/>
        </w:rPr>
      </w:pPr>
      <w:r>
        <w:rPr>
          <w:lang w:val="es-ES"/>
        </w:rPr>
        <w:t>Crear un instrumento de financiamiento en divisas</w:t>
      </w:r>
      <w:r w:rsidR="001242F2">
        <w:rPr>
          <w:lang w:val="es-ES"/>
        </w:rPr>
        <w:t xml:space="preserve"> </w:t>
      </w:r>
      <w:r>
        <w:rPr>
          <w:lang w:val="es-ES"/>
        </w:rPr>
        <w:t xml:space="preserve">para fomentar el desarrollo </w:t>
      </w:r>
      <w:r w:rsidR="00A25B61">
        <w:rPr>
          <w:lang w:val="es-ES"/>
        </w:rPr>
        <w:t>de los nuevos actores económicos</w:t>
      </w:r>
      <w:r>
        <w:rPr>
          <w:lang w:val="es-ES"/>
        </w:rPr>
        <w:t xml:space="preserve"> en Cuba</w:t>
      </w:r>
      <w:r w:rsidR="00C0180A">
        <w:rPr>
          <w:lang w:val="es-ES"/>
        </w:rPr>
        <w:t xml:space="preserve"> y su contribución al desarrollo. </w:t>
      </w:r>
    </w:p>
    <w:p w14:paraId="41BC5D9E" w14:textId="34909AD9" w:rsidR="003E0C6F" w:rsidRDefault="003E0C6F" w:rsidP="00017449">
      <w:pPr>
        <w:spacing w:before="240" w:after="120" w:line="240" w:lineRule="auto"/>
        <w:jc w:val="both"/>
        <w:rPr>
          <w:b/>
          <w:bCs/>
          <w:lang w:val="es-ES"/>
        </w:rPr>
      </w:pPr>
      <w:r w:rsidRPr="003E0C6F">
        <w:rPr>
          <w:b/>
          <w:bCs/>
          <w:lang w:val="es-ES"/>
        </w:rPr>
        <w:t>Propuesta</w:t>
      </w:r>
    </w:p>
    <w:p w14:paraId="202D520F" w14:textId="4D3BF111" w:rsidR="00017449" w:rsidRDefault="00990A99" w:rsidP="001F3429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1F3429">
        <w:rPr>
          <w:b/>
          <w:bCs/>
          <w:lang w:val="es-ES"/>
        </w:rPr>
        <w:t>Instrumento.</w:t>
      </w:r>
      <w:r w:rsidRPr="001F3429">
        <w:rPr>
          <w:lang w:val="es-ES"/>
        </w:rPr>
        <w:t xml:space="preserve"> C</w:t>
      </w:r>
      <w:r w:rsidR="00B7491F" w:rsidRPr="001F3429">
        <w:rPr>
          <w:lang w:val="es-ES"/>
        </w:rPr>
        <w:t xml:space="preserve">rédito para </w:t>
      </w:r>
      <w:r w:rsidRPr="001F3429">
        <w:rPr>
          <w:lang w:val="es-ES"/>
        </w:rPr>
        <w:t xml:space="preserve">capital de trabajo </w:t>
      </w:r>
      <w:r w:rsidR="00924AF5">
        <w:rPr>
          <w:lang w:val="es-ES"/>
        </w:rPr>
        <w:t>y/</w:t>
      </w:r>
      <w:r w:rsidRPr="001F3429">
        <w:rPr>
          <w:lang w:val="es-ES"/>
        </w:rPr>
        <w:t xml:space="preserve">o inversiones a </w:t>
      </w:r>
      <w:r w:rsidR="00A6667F">
        <w:rPr>
          <w:lang w:val="es-ES"/>
        </w:rPr>
        <w:t>MiPymes, CNA y PDL</w:t>
      </w:r>
      <w:r w:rsidR="00B7491F" w:rsidRPr="001F3429">
        <w:rPr>
          <w:lang w:val="es-ES"/>
        </w:rPr>
        <w:t xml:space="preserve">, </w:t>
      </w:r>
      <w:r w:rsidR="00A50A86">
        <w:rPr>
          <w:lang w:val="es-ES"/>
        </w:rPr>
        <w:t>sujeto a</w:t>
      </w:r>
      <w:r w:rsidR="00B7491F" w:rsidRPr="001F3429">
        <w:rPr>
          <w:lang w:val="es-ES"/>
        </w:rPr>
        <w:t xml:space="preserve"> requisitos que certifiquen su </w:t>
      </w:r>
      <w:r w:rsidR="001D0A07">
        <w:rPr>
          <w:lang w:val="es-ES"/>
        </w:rPr>
        <w:t>participación</w:t>
      </w:r>
      <w:r w:rsidR="001D0A07" w:rsidRPr="001F3429">
        <w:rPr>
          <w:lang w:val="es-ES"/>
        </w:rPr>
        <w:t xml:space="preserve"> </w:t>
      </w:r>
      <w:r w:rsidR="00B7491F" w:rsidRPr="001F3429">
        <w:rPr>
          <w:lang w:val="es-ES"/>
        </w:rPr>
        <w:t xml:space="preserve">en sectores estratégicos, su contribución al desarrollo local, así como criterios de inclusión, </w:t>
      </w:r>
      <w:r w:rsidRPr="001F3429">
        <w:rPr>
          <w:lang w:val="es-ES"/>
        </w:rPr>
        <w:t xml:space="preserve">innovación, </w:t>
      </w:r>
      <w:r w:rsidR="00B7491F" w:rsidRPr="001F3429">
        <w:rPr>
          <w:lang w:val="es-ES"/>
        </w:rPr>
        <w:t xml:space="preserve">transición energética, economía circular </w:t>
      </w:r>
      <w:r w:rsidR="00226E26">
        <w:rPr>
          <w:lang w:val="es-ES"/>
        </w:rPr>
        <w:t>u</w:t>
      </w:r>
      <w:r w:rsidR="00B7491F" w:rsidRPr="001F3429">
        <w:rPr>
          <w:lang w:val="es-ES"/>
        </w:rPr>
        <w:t xml:space="preserve"> otros que </w:t>
      </w:r>
      <w:r w:rsidRPr="001F3429">
        <w:rPr>
          <w:lang w:val="es-ES"/>
        </w:rPr>
        <w:t xml:space="preserve">considere el </w:t>
      </w:r>
      <w:r w:rsidR="001D0A07">
        <w:rPr>
          <w:lang w:val="es-ES"/>
        </w:rPr>
        <w:t xml:space="preserve">Comité </w:t>
      </w:r>
      <w:r w:rsidR="00D44EE6">
        <w:rPr>
          <w:lang w:val="es-ES"/>
        </w:rPr>
        <w:t>Directivo</w:t>
      </w:r>
      <w:r w:rsidRPr="001F3429">
        <w:rPr>
          <w:lang w:val="es-ES"/>
        </w:rPr>
        <w:t xml:space="preserve"> del proyecto.</w:t>
      </w:r>
    </w:p>
    <w:p w14:paraId="3498A2EA" w14:textId="0F9BF019" w:rsidR="00BA7E02" w:rsidRDefault="006B0242" w:rsidP="001F3429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1F3429">
        <w:rPr>
          <w:b/>
          <w:bCs/>
          <w:lang w:val="es-ES"/>
        </w:rPr>
        <w:lastRenderedPageBreak/>
        <w:t xml:space="preserve">Mercado. </w:t>
      </w:r>
      <w:r w:rsidR="00EF6470" w:rsidRPr="001F3429">
        <w:rPr>
          <w:lang w:val="es-ES"/>
        </w:rPr>
        <w:t xml:space="preserve">Los créditos se otorgarán a actores </w:t>
      </w:r>
      <w:r w:rsidR="0094650C">
        <w:rPr>
          <w:lang w:val="es-ES"/>
        </w:rPr>
        <w:t xml:space="preserve">cuya actividad </w:t>
      </w:r>
      <w:r w:rsidR="00356EAB">
        <w:rPr>
          <w:lang w:val="es-ES"/>
        </w:rPr>
        <w:t xml:space="preserve">o proyecto </w:t>
      </w:r>
      <w:r w:rsidR="0094650C">
        <w:rPr>
          <w:lang w:val="es-ES"/>
        </w:rPr>
        <w:t xml:space="preserve">permita </w:t>
      </w:r>
      <w:r w:rsidR="00100BAD">
        <w:rPr>
          <w:lang w:val="es-ES"/>
        </w:rPr>
        <w:t xml:space="preserve">generar directamente recursos en divisas y devolver </w:t>
      </w:r>
      <w:r w:rsidR="008126C9">
        <w:rPr>
          <w:lang w:val="es-ES"/>
        </w:rPr>
        <w:t xml:space="preserve">el financiamiento recibido. </w:t>
      </w:r>
      <w:r w:rsidR="00A0461B">
        <w:rPr>
          <w:lang w:val="es-ES"/>
        </w:rPr>
        <w:t>Ello implica que, en un primer momento, los créditos solo se otorgarán a</w:t>
      </w:r>
      <w:r w:rsidR="00F86440">
        <w:rPr>
          <w:lang w:val="es-ES"/>
        </w:rPr>
        <w:t xml:space="preserve">: </w:t>
      </w:r>
      <w:r w:rsidR="00A0461B">
        <w:rPr>
          <w:lang w:val="es-ES"/>
        </w:rPr>
        <w:t>exportadores</w:t>
      </w:r>
      <w:r w:rsidR="001B371E">
        <w:rPr>
          <w:lang w:val="es-ES"/>
        </w:rPr>
        <w:t xml:space="preserve">, </w:t>
      </w:r>
      <w:r w:rsidR="00F86440">
        <w:rPr>
          <w:lang w:val="es-ES"/>
        </w:rPr>
        <w:t>comercializadores en</w:t>
      </w:r>
      <w:r w:rsidR="001B371E">
        <w:rPr>
          <w:lang w:val="es-ES"/>
        </w:rPr>
        <w:t xml:space="preserve"> la </w:t>
      </w:r>
      <w:r w:rsidR="00F86440">
        <w:rPr>
          <w:lang w:val="es-ES"/>
        </w:rPr>
        <w:t xml:space="preserve">Zona Especial de Desarrollo </w:t>
      </w:r>
      <w:r w:rsidR="00496D69">
        <w:rPr>
          <w:lang w:val="es-ES"/>
        </w:rPr>
        <w:t xml:space="preserve">del </w:t>
      </w:r>
      <w:r w:rsidR="00F86440">
        <w:rPr>
          <w:lang w:val="es-ES"/>
        </w:rPr>
        <w:t>Mariel (ZEDM)</w:t>
      </w:r>
      <w:r w:rsidR="001B371E">
        <w:rPr>
          <w:lang w:val="es-ES"/>
        </w:rPr>
        <w:t xml:space="preserve"> u otros que se autoricen</w:t>
      </w:r>
      <w:r w:rsidR="00BA7E02">
        <w:rPr>
          <w:lang w:val="es-ES"/>
        </w:rPr>
        <w:t>.</w:t>
      </w:r>
    </w:p>
    <w:p w14:paraId="4CD19A15" w14:textId="2551222B" w:rsidR="006B0242" w:rsidRPr="00BA7E02" w:rsidRDefault="001B371E" w:rsidP="00BA7E02">
      <w:pPr>
        <w:spacing w:before="120" w:after="120" w:line="240" w:lineRule="auto"/>
        <w:ind w:left="357"/>
        <w:jc w:val="both"/>
        <w:rPr>
          <w:i/>
          <w:iCs/>
          <w:lang w:val="es-ES"/>
        </w:rPr>
      </w:pPr>
      <w:r w:rsidRPr="00BA7E02">
        <w:rPr>
          <w:i/>
          <w:iCs/>
          <w:lang w:val="es-ES"/>
        </w:rPr>
        <w:t xml:space="preserve">Si, durante el periodo de vida del proyecto, </w:t>
      </w:r>
      <w:r w:rsidR="00767FA5" w:rsidRPr="00BA7E02">
        <w:rPr>
          <w:i/>
          <w:iCs/>
          <w:lang w:val="es-ES"/>
        </w:rPr>
        <w:t>se crea un mercado cambiario para estos actores, podrían adicionarse como mercado potencial aquellos que generan ingresos en moneda nacional</w:t>
      </w:r>
      <w:r w:rsidR="00D32E61" w:rsidRPr="00BA7E02">
        <w:rPr>
          <w:i/>
          <w:iCs/>
          <w:lang w:val="es-ES"/>
        </w:rPr>
        <w:t xml:space="preserve"> y cumplan los requisitos de otorgamiento del crédito</w:t>
      </w:r>
      <w:r w:rsidR="00767FA5" w:rsidRPr="00BA7E02">
        <w:rPr>
          <w:i/>
          <w:iCs/>
          <w:lang w:val="es-ES"/>
        </w:rPr>
        <w:t>.</w:t>
      </w:r>
    </w:p>
    <w:p w14:paraId="3C7814F2" w14:textId="6F3D3EE0" w:rsidR="00990A99" w:rsidRPr="001D0C3D" w:rsidRDefault="00990A99" w:rsidP="00376528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1D0C3D">
        <w:rPr>
          <w:b/>
          <w:bCs/>
          <w:lang w:val="es-ES"/>
        </w:rPr>
        <w:t xml:space="preserve">Diseño. </w:t>
      </w:r>
      <w:r w:rsidRPr="001D0C3D">
        <w:rPr>
          <w:lang w:val="es-ES"/>
        </w:rPr>
        <w:t>Apoyándose en</w:t>
      </w:r>
      <w:r w:rsidR="00E74628" w:rsidRPr="001D0C3D">
        <w:rPr>
          <w:lang w:val="es-ES"/>
        </w:rPr>
        <w:t xml:space="preserve"> los aprendizajes de</w:t>
      </w:r>
      <w:r w:rsidRPr="001D0C3D">
        <w:rPr>
          <w:lang w:val="es-ES"/>
        </w:rPr>
        <w:t xml:space="preserve"> la experiencia piloto de microcréditos en Bayamo, con apoyo de expertos, se </w:t>
      </w:r>
      <w:r w:rsidR="006B0242" w:rsidRPr="001D0C3D">
        <w:rPr>
          <w:lang w:val="es-ES"/>
        </w:rPr>
        <w:t xml:space="preserve">diseñará un producto ajustado a las necesidades </w:t>
      </w:r>
      <w:r w:rsidR="00EF6470" w:rsidRPr="001D0C3D">
        <w:rPr>
          <w:lang w:val="es-ES"/>
        </w:rPr>
        <w:t>de los</w:t>
      </w:r>
      <w:r w:rsidR="000E7AED" w:rsidRPr="001D0C3D">
        <w:rPr>
          <w:lang w:val="es-ES"/>
        </w:rPr>
        <w:t xml:space="preserve"> nuevos</w:t>
      </w:r>
      <w:r w:rsidR="00EF6470" w:rsidRPr="001D0C3D">
        <w:rPr>
          <w:lang w:val="es-ES"/>
        </w:rPr>
        <w:t xml:space="preserve"> </w:t>
      </w:r>
      <w:r w:rsidR="001F3429" w:rsidRPr="001D0C3D">
        <w:rPr>
          <w:lang w:val="es-ES"/>
        </w:rPr>
        <w:t xml:space="preserve">actores. </w:t>
      </w:r>
      <w:r w:rsidR="00900AAD" w:rsidRPr="001D0C3D">
        <w:rPr>
          <w:lang w:val="es-ES"/>
        </w:rPr>
        <w:t>Entre otros, se promoverá replicar: estudios previos de demanda, promoción y educación financiera</w:t>
      </w:r>
      <w:r w:rsidR="008D3A98" w:rsidRPr="001D0C3D">
        <w:rPr>
          <w:lang w:val="es-ES"/>
        </w:rPr>
        <w:t>;</w:t>
      </w:r>
      <w:r w:rsidR="00900AAD" w:rsidRPr="001D0C3D">
        <w:rPr>
          <w:lang w:val="es-ES"/>
        </w:rPr>
        <w:t xml:space="preserve"> apropiación y formación de capacidades en instituciones locales</w:t>
      </w:r>
      <w:r w:rsidR="008D3A98" w:rsidRPr="001D0C3D">
        <w:rPr>
          <w:lang w:val="es-ES"/>
        </w:rPr>
        <w:t>;</w:t>
      </w:r>
      <w:r w:rsidR="00900AAD" w:rsidRPr="001D0C3D">
        <w:rPr>
          <w:lang w:val="es-ES"/>
        </w:rPr>
        <w:t xml:space="preserve"> agilidad en el otorgamiento</w:t>
      </w:r>
      <w:r w:rsidR="008D3A98" w:rsidRPr="001D0C3D">
        <w:rPr>
          <w:lang w:val="es-ES"/>
        </w:rPr>
        <w:t>;</w:t>
      </w:r>
      <w:r w:rsidR="00900AAD" w:rsidRPr="001D0C3D">
        <w:rPr>
          <w:lang w:val="es-ES"/>
        </w:rPr>
        <w:t xml:space="preserve"> tasa</w:t>
      </w:r>
      <w:r w:rsidR="00496D69" w:rsidRPr="001D0C3D">
        <w:rPr>
          <w:lang w:val="es-ES"/>
        </w:rPr>
        <w:t>s</w:t>
      </w:r>
      <w:r w:rsidR="00900AAD" w:rsidRPr="001D0C3D">
        <w:rPr>
          <w:lang w:val="es-ES"/>
        </w:rPr>
        <w:t xml:space="preserve"> de interés que cubren los costos del producto</w:t>
      </w:r>
      <w:r w:rsidR="008D3A98" w:rsidRPr="001D0C3D">
        <w:rPr>
          <w:lang w:val="es-ES"/>
        </w:rPr>
        <w:t>;</w:t>
      </w:r>
      <w:r w:rsidR="00900AAD" w:rsidRPr="001D0C3D">
        <w:rPr>
          <w:lang w:val="es-ES"/>
        </w:rPr>
        <w:t xml:space="preserve"> </w:t>
      </w:r>
      <w:r w:rsidR="00CC2041" w:rsidRPr="001D0C3D">
        <w:rPr>
          <w:lang w:val="es-ES"/>
        </w:rPr>
        <w:t>gestores de crédito</w:t>
      </w:r>
      <w:r w:rsidR="008D3A98" w:rsidRPr="001D0C3D">
        <w:rPr>
          <w:lang w:val="es-ES"/>
        </w:rPr>
        <w:t>;</w:t>
      </w:r>
      <w:r w:rsidR="00900AAD" w:rsidRPr="001D0C3D">
        <w:rPr>
          <w:lang w:val="es-ES"/>
        </w:rPr>
        <w:t xml:space="preserve"> utilización de modelos de información que permit</w:t>
      </w:r>
      <w:r w:rsidR="00CC2041" w:rsidRPr="001D0C3D">
        <w:rPr>
          <w:lang w:val="es-ES"/>
        </w:rPr>
        <w:t>a</w:t>
      </w:r>
      <w:r w:rsidR="00900AAD" w:rsidRPr="001D0C3D">
        <w:rPr>
          <w:lang w:val="es-ES"/>
        </w:rPr>
        <w:t xml:space="preserve">n </w:t>
      </w:r>
      <w:r w:rsidR="00100BAD" w:rsidRPr="001D0C3D">
        <w:rPr>
          <w:lang w:val="es-ES"/>
        </w:rPr>
        <w:t xml:space="preserve">reducir </w:t>
      </w:r>
      <w:r w:rsidR="00900AAD" w:rsidRPr="001D0C3D">
        <w:rPr>
          <w:lang w:val="es-ES"/>
        </w:rPr>
        <w:t>trámites</w:t>
      </w:r>
      <w:r w:rsidR="008D3A98" w:rsidRPr="001D0C3D">
        <w:rPr>
          <w:lang w:val="es-ES"/>
        </w:rPr>
        <w:t>;</w:t>
      </w:r>
      <w:r w:rsidR="00100BAD" w:rsidRPr="001D0C3D">
        <w:rPr>
          <w:lang w:val="es-ES"/>
        </w:rPr>
        <w:t xml:space="preserve"> </w:t>
      </w:r>
      <w:r w:rsidR="00E74628" w:rsidRPr="001D0C3D">
        <w:rPr>
          <w:lang w:val="es-ES"/>
        </w:rPr>
        <w:t>digitalización de procesos</w:t>
      </w:r>
      <w:r w:rsidR="00951A17" w:rsidRPr="001D0C3D">
        <w:rPr>
          <w:lang w:val="es-ES"/>
        </w:rPr>
        <w:t xml:space="preserve"> y</w:t>
      </w:r>
      <w:r w:rsidR="00E74628" w:rsidRPr="001D0C3D">
        <w:rPr>
          <w:lang w:val="es-ES"/>
        </w:rPr>
        <w:t xml:space="preserve"> </w:t>
      </w:r>
      <w:r w:rsidR="00100BAD" w:rsidRPr="001D0C3D">
        <w:rPr>
          <w:lang w:val="es-ES"/>
        </w:rPr>
        <w:t>simplificación de los procedimientos existentes;</w:t>
      </w:r>
      <w:r w:rsidR="00900AAD" w:rsidRPr="001D0C3D">
        <w:rPr>
          <w:lang w:val="es-ES"/>
        </w:rPr>
        <w:t xml:space="preserve"> </w:t>
      </w:r>
      <w:r w:rsidR="00016BE5" w:rsidRPr="001D0C3D">
        <w:rPr>
          <w:lang w:val="es-ES"/>
        </w:rPr>
        <w:t>incentivos salariales para la unidad de negocios</w:t>
      </w:r>
      <w:r w:rsidR="008D3A98" w:rsidRPr="001D0C3D">
        <w:rPr>
          <w:lang w:val="es-ES"/>
        </w:rPr>
        <w:t>;</w:t>
      </w:r>
      <w:r w:rsidR="00016BE5" w:rsidRPr="001D0C3D">
        <w:rPr>
          <w:lang w:val="es-ES"/>
        </w:rPr>
        <w:t xml:space="preserve"> </w:t>
      </w:r>
      <w:r w:rsidR="00900AAD" w:rsidRPr="001D0C3D">
        <w:rPr>
          <w:lang w:val="es-ES"/>
        </w:rPr>
        <w:t xml:space="preserve">e incentivos financieros para favorecer </w:t>
      </w:r>
      <w:r w:rsidR="00100BAD" w:rsidRPr="001D0C3D">
        <w:rPr>
          <w:lang w:val="es-ES"/>
        </w:rPr>
        <w:t>el empoderamiento de</w:t>
      </w:r>
      <w:r w:rsidR="00900AAD" w:rsidRPr="001D0C3D">
        <w:rPr>
          <w:lang w:val="es-ES"/>
        </w:rPr>
        <w:t xml:space="preserve"> mujeres y jóvenes.</w:t>
      </w:r>
    </w:p>
    <w:p w14:paraId="4BAA8CFF" w14:textId="736CE2E9" w:rsidR="00886DA5" w:rsidRDefault="00CC2041" w:rsidP="00FA25DF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CC2041">
        <w:rPr>
          <w:b/>
          <w:bCs/>
          <w:lang w:val="es-ES"/>
        </w:rPr>
        <w:t>Fondo.</w:t>
      </w:r>
      <w:r>
        <w:rPr>
          <w:lang w:val="es-ES"/>
        </w:rPr>
        <w:t xml:space="preserve"> </w:t>
      </w:r>
      <w:r w:rsidR="00FA25DF">
        <w:rPr>
          <w:lang w:val="es-ES"/>
        </w:rPr>
        <w:t xml:space="preserve">Se creará un fondo </w:t>
      </w:r>
      <w:r w:rsidR="008C3523">
        <w:rPr>
          <w:lang w:val="es-ES"/>
        </w:rPr>
        <w:t xml:space="preserve">revolvente, </w:t>
      </w:r>
      <w:r w:rsidR="00FA25DF">
        <w:rPr>
          <w:lang w:val="es-ES"/>
        </w:rPr>
        <w:t xml:space="preserve">con </w:t>
      </w:r>
      <w:r w:rsidR="00886DA5">
        <w:rPr>
          <w:lang w:val="es-ES"/>
        </w:rPr>
        <w:t>2 millones de EUR</w:t>
      </w:r>
      <w:r w:rsidR="00FA25DF">
        <w:rPr>
          <w:lang w:val="es-ES"/>
        </w:rPr>
        <w:t xml:space="preserve"> del proyecto, </w:t>
      </w:r>
      <w:r w:rsidR="00886DA5">
        <w:rPr>
          <w:lang w:val="es-ES"/>
        </w:rPr>
        <w:t>para el otorgamiento de</w:t>
      </w:r>
      <w:r w:rsidR="008C3523">
        <w:rPr>
          <w:lang w:val="es-ES"/>
        </w:rPr>
        <w:t xml:space="preserve"> </w:t>
      </w:r>
      <w:r w:rsidR="00886DA5">
        <w:rPr>
          <w:lang w:val="es-ES"/>
        </w:rPr>
        <w:t>créditos en divisas</w:t>
      </w:r>
      <w:r w:rsidR="008C3523">
        <w:rPr>
          <w:lang w:val="es-ES"/>
        </w:rPr>
        <w:t xml:space="preserve">. Gracias a la amortización </w:t>
      </w:r>
      <w:r w:rsidR="00D34FD1">
        <w:rPr>
          <w:lang w:val="es-ES"/>
        </w:rPr>
        <w:t xml:space="preserve">y cobro de intereses, el fondo </w:t>
      </w:r>
      <w:r w:rsidR="006855AE">
        <w:rPr>
          <w:lang w:val="es-ES"/>
        </w:rPr>
        <w:t xml:space="preserve">debe crecer </w:t>
      </w:r>
      <w:r w:rsidR="00D34FD1">
        <w:rPr>
          <w:lang w:val="es-ES"/>
        </w:rPr>
        <w:t xml:space="preserve">y garantizar </w:t>
      </w:r>
      <w:r w:rsidR="001B71EB">
        <w:rPr>
          <w:lang w:val="es-ES"/>
        </w:rPr>
        <w:t xml:space="preserve">la </w:t>
      </w:r>
      <w:r w:rsidR="00D34FD1">
        <w:rPr>
          <w:lang w:val="es-ES"/>
        </w:rPr>
        <w:t xml:space="preserve">sostenibilidad </w:t>
      </w:r>
      <w:r w:rsidR="001B71EB">
        <w:rPr>
          <w:lang w:val="es-ES"/>
        </w:rPr>
        <w:t>de</w:t>
      </w:r>
      <w:r w:rsidR="00D34FD1">
        <w:rPr>
          <w:lang w:val="es-ES"/>
        </w:rPr>
        <w:t>l mecanismo, más allá de la vida del proyecto.</w:t>
      </w:r>
      <w:r w:rsidR="003A5E42">
        <w:rPr>
          <w:lang w:val="es-ES"/>
        </w:rPr>
        <w:t xml:space="preserve"> </w:t>
      </w:r>
      <w:r w:rsidR="00886DA5">
        <w:rPr>
          <w:lang w:val="es-ES"/>
        </w:rPr>
        <w:t xml:space="preserve">La institución financiera </w:t>
      </w:r>
      <w:r w:rsidR="002E6239">
        <w:rPr>
          <w:lang w:val="es-ES"/>
        </w:rPr>
        <w:t xml:space="preserve">que gestiona los fondos del proyecto </w:t>
      </w:r>
      <w:r w:rsidR="00886DA5">
        <w:rPr>
          <w:lang w:val="es-ES"/>
        </w:rPr>
        <w:t>podrá otorgar</w:t>
      </w:r>
      <w:r w:rsidR="002E6239">
        <w:rPr>
          <w:lang w:val="es-ES"/>
        </w:rPr>
        <w:t>, a partir de sus recursos,</w:t>
      </w:r>
      <w:r w:rsidR="00886DA5">
        <w:rPr>
          <w:lang w:val="es-ES"/>
        </w:rPr>
        <w:t xml:space="preserve"> créditos en pesos para financiar el componente en moneda nacional </w:t>
      </w:r>
      <w:r w:rsidR="001B71EB">
        <w:rPr>
          <w:lang w:val="es-ES"/>
        </w:rPr>
        <w:t>de las inversiones de las MiPymes</w:t>
      </w:r>
      <w:r w:rsidR="00886DA5">
        <w:rPr>
          <w:lang w:val="es-ES"/>
        </w:rPr>
        <w:t>.</w:t>
      </w:r>
    </w:p>
    <w:p w14:paraId="5902EB8B" w14:textId="60BF090F" w:rsidR="00A66B6B" w:rsidRPr="003B7963" w:rsidRDefault="00CC2041" w:rsidP="00010EA6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3B7963">
        <w:rPr>
          <w:b/>
          <w:bCs/>
          <w:lang w:val="es-ES"/>
        </w:rPr>
        <w:t>Administración.</w:t>
      </w:r>
      <w:r w:rsidRPr="003B7963">
        <w:rPr>
          <w:lang w:val="es-ES"/>
        </w:rPr>
        <w:t xml:space="preserve"> </w:t>
      </w:r>
      <w:r w:rsidR="00A66B6B" w:rsidRPr="003B7963">
        <w:rPr>
          <w:lang w:val="es-ES"/>
        </w:rPr>
        <w:t xml:space="preserve">El fondo será gestionado por una institución financiera nacional, mediante un fideicomiso, una cuenta escrow u otro mecanismo contractual que asegure su operatividad bajo las reglas establecidas por el Comité </w:t>
      </w:r>
      <w:r w:rsidR="006855AE" w:rsidRPr="003B7963">
        <w:rPr>
          <w:lang w:val="es-ES"/>
        </w:rPr>
        <w:t xml:space="preserve">Directivo </w:t>
      </w:r>
      <w:r w:rsidR="00A66B6B" w:rsidRPr="003B7963">
        <w:rPr>
          <w:lang w:val="es-ES"/>
        </w:rPr>
        <w:t>del proyecto, integrado por actores nacionales y de la colaboración internacional.</w:t>
      </w:r>
      <w:r w:rsidR="003B7963" w:rsidRPr="003B7963">
        <w:rPr>
          <w:lang w:val="es-ES"/>
        </w:rPr>
        <w:t xml:space="preserve"> </w:t>
      </w:r>
      <w:r w:rsidR="00010EA6" w:rsidRPr="003B7963">
        <w:rPr>
          <w:lang w:val="es-ES"/>
        </w:rPr>
        <w:t>La institución financiera nacional realizará la evaluación de los proyectos sujetos de crédito</w:t>
      </w:r>
      <w:r w:rsidR="00036FF8" w:rsidRPr="003B7963">
        <w:rPr>
          <w:lang w:val="es-ES"/>
        </w:rPr>
        <w:t xml:space="preserve">, proponiendo al Comité Directivo </w:t>
      </w:r>
      <w:r w:rsidR="005D3BB7" w:rsidRPr="003B7963">
        <w:rPr>
          <w:lang w:val="es-ES"/>
        </w:rPr>
        <w:t>los proyectos a aprobar y los criterios técnicos para su aprobación. La institución financiera estará a cargo, a su vez, del monitoreo de los proyectos y su gestión de cobro.</w:t>
      </w:r>
      <w:r w:rsidR="00010EA6" w:rsidRPr="003B7963">
        <w:rPr>
          <w:lang w:val="es-ES"/>
        </w:rPr>
        <w:t xml:space="preserve">  </w:t>
      </w:r>
    </w:p>
    <w:p w14:paraId="6C37E68C" w14:textId="30F675CC" w:rsidR="008126C9" w:rsidRPr="00016BE5" w:rsidRDefault="008126C9" w:rsidP="00016BE5">
      <w:pPr>
        <w:spacing w:before="240" w:after="120" w:line="240" w:lineRule="auto"/>
        <w:jc w:val="both"/>
        <w:rPr>
          <w:b/>
          <w:bCs/>
          <w:lang w:val="es-ES"/>
        </w:rPr>
      </w:pPr>
      <w:r w:rsidRPr="00016BE5">
        <w:rPr>
          <w:b/>
          <w:bCs/>
          <w:lang w:val="es-ES"/>
        </w:rPr>
        <w:t>Desafíos</w:t>
      </w:r>
      <w:r w:rsidR="00F571C7">
        <w:rPr>
          <w:b/>
          <w:bCs/>
          <w:lang w:val="es-ES"/>
        </w:rPr>
        <w:t xml:space="preserve"> y alternativas</w:t>
      </w:r>
    </w:p>
    <w:p w14:paraId="63463CA2" w14:textId="38C67BF4" w:rsidR="00AF6A88" w:rsidRPr="00AF6A88" w:rsidRDefault="00AF6A88" w:rsidP="00AF6A88">
      <w:pPr>
        <w:spacing w:before="120" w:after="120" w:line="240" w:lineRule="auto"/>
        <w:jc w:val="both"/>
        <w:rPr>
          <w:lang w:val="es-ES"/>
        </w:rPr>
      </w:pPr>
      <w:r w:rsidRPr="00AF6A88">
        <w:rPr>
          <w:lang w:val="es-ES"/>
        </w:rPr>
        <w:t xml:space="preserve">El éxito del mecanismo depende de superar </w:t>
      </w:r>
      <w:r w:rsidR="00D42540">
        <w:rPr>
          <w:lang w:val="es-ES"/>
        </w:rPr>
        <w:t>tres</w:t>
      </w:r>
      <w:r w:rsidRPr="00AF6A88">
        <w:rPr>
          <w:lang w:val="es-ES"/>
        </w:rPr>
        <w:t xml:space="preserve"> desafíos clave en el contexto cubano:</w:t>
      </w:r>
    </w:p>
    <w:p w14:paraId="0AF7926D" w14:textId="3DC72611" w:rsidR="00AF6A88" w:rsidRPr="00AF6A88" w:rsidRDefault="00AF6A88" w:rsidP="00AF6A88">
      <w:pPr>
        <w:pStyle w:val="ListParagraph"/>
        <w:numPr>
          <w:ilvl w:val="0"/>
          <w:numId w:val="6"/>
        </w:numPr>
        <w:spacing w:before="120" w:after="120" w:line="240" w:lineRule="auto"/>
        <w:jc w:val="both"/>
        <w:rPr>
          <w:lang w:val="es-ES"/>
        </w:rPr>
      </w:pPr>
      <w:r w:rsidRPr="00AF6A88">
        <w:rPr>
          <w:b/>
          <w:bCs/>
          <w:lang w:val="es-ES"/>
        </w:rPr>
        <w:t>Mercado</w:t>
      </w:r>
      <w:r w:rsidR="00FD7C2F">
        <w:rPr>
          <w:b/>
          <w:bCs/>
          <w:lang w:val="es-ES"/>
        </w:rPr>
        <w:t>.</w:t>
      </w:r>
      <w:r w:rsidRPr="00AF6A88">
        <w:rPr>
          <w:b/>
          <w:bCs/>
          <w:lang w:val="es-ES"/>
        </w:rPr>
        <w:t xml:space="preserve"> </w:t>
      </w:r>
      <w:r w:rsidRPr="00AF6A88">
        <w:rPr>
          <w:lang w:val="es-ES"/>
        </w:rPr>
        <w:t>Si solo los exportadores accedieran a los créditos, el mercado se limitaría a muy pocas MiPymes</w:t>
      </w:r>
      <w:r w:rsidR="00D161A6">
        <w:rPr>
          <w:lang w:val="es-ES"/>
        </w:rPr>
        <w:t>, CNAs o PDLs</w:t>
      </w:r>
      <w:r w:rsidRPr="00AF6A88">
        <w:rPr>
          <w:lang w:val="es-ES"/>
        </w:rPr>
        <w:t xml:space="preserve">. A nivel internacional, y Cuba no es una excepción, la exportación es una actividad compleja para </w:t>
      </w:r>
      <w:r w:rsidR="00D161A6">
        <w:rPr>
          <w:lang w:val="es-ES"/>
        </w:rPr>
        <w:t>los pequeños emprendimientos</w:t>
      </w:r>
      <w:r w:rsidR="00A36B4A">
        <w:rPr>
          <w:lang w:val="es-ES"/>
        </w:rPr>
        <w:t>. Muy poc</w:t>
      </w:r>
      <w:r w:rsidR="00D161A6">
        <w:rPr>
          <w:lang w:val="es-ES"/>
        </w:rPr>
        <w:t>o</w:t>
      </w:r>
      <w:r w:rsidR="00A36B4A">
        <w:rPr>
          <w:lang w:val="es-ES"/>
        </w:rPr>
        <w:t>s lo logran en la práctica</w:t>
      </w:r>
      <w:r w:rsidRPr="00AF6A88">
        <w:rPr>
          <w:lang w:val="es-ES"/>
        </w:rPr>
        <w:t>. Esto implica</w:t>
      </w:r>
      <w:r w:rsidR="00CB78DA">
        <w:rPr>
          <w:lang w:val="es-ES"/>
        </w:rPr>
        <w:t>, en adición,</w:t>
      </w:r>
      <w:r w:rsidRPr="00AF6A88">
        <w:rPr>
          <w:lang w:val="es-ES"/>
        </w:rPr>
        <w:t xml:space="preserve"> que no podrían aplicarse otros "filtros" de selección, como el tipo de actividad </w:t>
      </w:r>
      <w:r w:rsidR="00CB78DA">
        <w:rPr>
          <w:lang w:val="es-ES"/>
        </w:rPr>
        <w:t xml:space="preserve">económica </w:t>
      </w:r>
      <w:r w:rsidRPr="00AF6A88">
        <w:rPr>
          <w:lang w:val="es-ES"/>
        </w:rPr>
        <w:t xml:space="preserve">o el tamaño de </w:t>
      </w:r>
      <w:r w:rsidR="00EF61BA">
        <w:rPr>
          <w:lang w:val="es-ES"/>
        </w:rPr>
        <w:t>los emprendimientos</w:t>
      </w:r>
      <w:r w:rsidRPr="00AF6A88">
        <w:rPr>
          <w:lang w:val="es-ES"/>
        </w:rPr>
        <w:t xml:space="preserve">, ya que reducirían aún más el mercado, restándole atractivo e impacto al instrumento.  </w:t>
      </w:r>
    </w:p>
    <w:p w14:paraId="269490A5" w14:textId="5B7EA1B8" w:rsidR="002B5568" w:rsidRDefault="00AF6A88" w:rsidP="002B5568">
      <w:pPr>
        <w:spacing w:before="120" w:after="120" w:line="240" w:lineRule="auto"/>
        <w:ind w:left="360"/>
        <w:jc w:val="both"/>
        <w:rPr>
          <w:lang w:val="es-ES"/>
        </w:rPr>
      </w:pPr>
      <w:r w:rsidRPr="00AF6A88">
        <w:rPr>
          <w:lang w:val="es-ES"/>
        </w:rPr>
        <w:t>Para abordar est</w:t>
      </w:r>
      <w:r w:rsidR="0004173C">
        <w:rPr>
          <w:lang w:val="es-ES"/>
        </w:rPr>
        <w:t>e desafío</w:t>
      </w:r>
      <w:r w:rsidRPr="00AF6A88">
        <w:rPr>
          <w:lang w:val="es-ES"/>
        </w:rPr>
        <w:t xml:space="preserve"> se propone mapear, con apoyo de las autoridades</w:t>
      </w:r>
      <w:r w:rsidR="0004173C">
        <w:rPr>
          <w:lang w:val="es-ES"/>
        </w:rPr>
        <w:t xml:space="preserve"> competentes</w:t>
      </w:r>
      <w:r w:rsidRPr="00AF6A88">
        <w:rPr>
          <w:lang w:val="es-ES"/>
        </w:rPr>
        <w:t>, todas las MiPymes</w:t>
      </w:r>
      <w:r w:rsidR="00EF61BA">
        <w:rPr>
          <w:lang w:val="es-ES"/>
        </w:rPr>
        <w:t>, CNAs y PDLs</w:t>
      </w:r>
      <w:r w:rsidRPr="00AF6A88">
        <w:rPr>
          <w:lang w:val="es-ES"/>
        </w:rPr>
        <w:t xml:space="preserve"> que exportan o están autorizadas a cobrar en divisas, evaluando la estabilidad de sus operaciones (más de 6 meses continuos de ingresos en </w:t>
      </w:r>
      <w:r w:rsidR="001B6317">
        <w:rPr>
          <w:lang w:val="es-ES"/>
        </w:rPr>
        <w:t>moneda extranjera</w:t>
      </w:r>
      <w:r w:rsidRPr="00AF6A88">
        <w:rPr>
          <w:lang w:val="es-ES"/>
        </w:rPr>
        <w:t xml:space="preserve">). Esto permitiría definir el tamaño del mercado y la magnitud de la restricción. Según el resultado, podrían estudiarse alternativas para </w:t>
      </w:r>
      <w:r w:rsidR="001F4958">
        <w:rPr>
          <w:lang w:val="es-ES"/>
        </w:rPr>
        <w:t>dar acceso al instrumento</w:t>
      </w:r>
      <w:r w:rsidRPr="00AF6A88">
        <w:rPr>
          <w:lang w:val="es-ES"/>
        </w:rPr>
        <w:t xml:space="preserve"> </w:t>
      </w:r>
      <w:r w:rsidR="001F4958">
        <w:rPr>
          <w:lang w:val="es-ES"/>
        </w:rPr>
        <w:t xml:space="preserve">a </w:t>
      </w:r>
      <w:r w:rsidRPr="00AF6A88">
        <w:rPr>
          <w:lang w:val="es-ES"/>
        </w:rPr>
        <w:t>MiPymes</w:t>
      </w:r>
      <w:r w:rsidR="001B6317">
        <w:rPr>
          <w:lang w:val="es-ES"/>
        </w:rPr>
        <w:t>, CNAs o PDLs</w:t>
      </w:r>
      <w:r w:rsidRPr="00AF6A88">
        <w:rPr>
          <w:lang w:val="es-ES"/>
        </w:rPr>
        <w:t xml:space="preserve"> vinculad</w:t>
      </w:r>
      <w:r w:rsidR="001B6317">
        <w:rPr>
          <w:lang w:val="es-ES"/>
        </w:rPr>
        <w:t>o</w:t>
      </w:r>
      <w:r w:rsidRPr="00AF6A88">
        <w:rPr>
          <w:lang w:val="es-ES"/>
        </w:rPr>
        <w:t>s al sector exportador y/o generador de divisas.</w:t>
      </w:r>
    </w:p>
    <w:p w14:paraId="105160AE" w14:textId="192EE668" w:rsidR="00D15537" w:rsidRDefault="00AD69BC" w:rsidP="00B14C21">
      <w:pPr>
        <w:pStyle w:val="ListParagraph"/>
        <w:numPr>
          <w:ilvl w:val="0"/>
          <w:numId w:val="6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AD69BC">
        <w:rPr>
          <w:b/>
          <w:bCs/>
          <w:lang w:val="es-ES"/>
        </w:rPr>
        <w:t>E</w:t>
      </w:r>
      <w:r w:rsidR="00EE533B" w:rsidRPr="00AD69BC">
        <w:rPr>
          <w:b/>
          <w:bCs/>
          <w:lang w:val="es-ES"/>
        </w:rPr>
        <w:t>standariza</w:t>
      </w:r>
      <w:r w:rsidRPr="00AD69BC">
        <w:rPr>
          <w:b/>
          <w:bCs/>
          <w:lang w:val="es-ES"/>
        </w:rPr>
        <w:t>ción</w:t>
      </w:r>
      <w:r w:rsidR="00FD7C2F">
        <w:rPr>
          <w:b/>
          <w:bCs/>
          <w:lang w:val="es-ES"/>
        </w:rPr>
        <w:t>.</w:t>
      </w:r>
      <w:r w:rsidR="00EE533B">
        <w:rPr>
          <w:lang w:val="es-ES"/>
        </w:rPr>
        <w:t xml:space="preserve"> </w:t>
      </w:r>
      <w:r w:rsidR="00D42540" w:rsidRPr="00D42540">
        <w:rPr>
          <w:lang w:val="es-ES"/>
        </w:rPr>
        <w:t xml:space="preserve">La diversidad de necesidades </w:t>
      </w:r>
      <w:r w:rsidR="00D42540">
        <w:rPr>
          <w:lang w:val="es-ES"/>
        </w:rPr>
        <w:t>de</w:t>
      </w:r>
      <w:r w:rsidR="00D42540" w:rsidRPr="00D42540">
        <w:rPr>
          <w:lang w:val="es-ES"/>
        </w:rPr>
        <w:t xml:space="preserve"> las MiPymes</w:t>
      </w:r>
      <w:r w:rsidR="00D42540">
        <w:rPr>
          <w:lang w:val="es-ES"/>
        </w:rPr>
        <w:t>, CNAs y PDLs</w:t>
      </w:r>
      <w:r w:rsidR="00D42540" w:rsidRPr="00D42540">
        <w:rPr>
          <w:lang w:val="es-ES"/>
        </w:rPr>
        <w:t xml:space="preserve"> conlleva una amplia variabilidad </w:t>
      </w:r>
      <w:r w:rsidR="00D42540">
        <w:rPr>
          <w:lang w:val="es-ES"/>
        </w:rPr>
        <w:t>de</w:t>
      </w:r>
      <w:r w:rsidR="00D42540" w:rsidRPr="00D42540">
        <w:rPr>
          <w:lang w:val="es-ES"/>
        </w:rPr>
        <w:t xml:space="preserve"> destinos de los créditos, lo que plantea importantes desafíos operativos. Esta dispersión dificulta el desarrollo de capacidades especializadas entre los </w:t>
      </w:r>
      <w:r w:rsidR="00D42540" w:rsidRPr="00D42540">
        <w:rPr>
          <w:lang w:val="es-ES"/>
        </w:rPr>
        <w:lastRenderedPageBreak/>
        <w:t xml:space="preserve">gestores </w:t>
      </w:r>
      <w:r w:rsidR="00D15537">
        <w:rPr>
          <w:lang w:val="es-ES"/>
        </w:rPr>
        <w:t>de crédito</w:t>
      </w:r>
      <w:r w:rsidR="00D42540" w:rsidRPr="00D42540">
        <w:rPr>
          <w:lang w:val="es-ES"/>
        </w:rPr>
        <w:t xml:space="preserve">, </w:t>
      </w:r>
      <w:r w:rsidR="00D15537">
        <w:rPr>
          <w:lang w:val="es-ES"/>
        </w:rPr>
        <w:t>complejiza</w:t>
      </w:r>
      <w:r w:rsidR="00D42540" w:rsidRPr="00D42540">
        <w:rPr>
          <w:lang w:val="es-ES"/>
        </w:rPr>
        <w:t xml:space="preserve"> la evaluación de riesgos y genera ineficiencias en la gestión de tesorería, particularmente en el procesamiento de pagos directos a numerosos proveedores.</w:t>
      </w:r>
    </w:p>
    <w:p w14:paraId="6E74CA39" w14:textId="37D45824" w:rsidR="002B5568" w:rsidRPr="00D15537" w:rsidRDefault="00D42540" w:rsidP="00D15537">
      <w:pPr>
        <w:spacing w:before="120" w:after="120" w:line="240" w:lineRule="auto"/>
        <w:ind w:left="357"/>
        <w:jc w:val="both"/>
        <w:rPr>
          <w:lang w:val="es-ES"/>
        </w:rPr>
      </w:pPr>
      <w:r w:rsidRPr="00D15537">
        <w:rPr>
          <w:lang w:val="es-ES"/>
        </w:rPr>
        <w:t>Ante esta situación, se recomienda estandariza</w:t>
      </w:r>
      <w:r w:rsidR="00D15537">
        <w:rPr>
          <w:lang w:val="es-ES"/>
        </w:rPr>
        <w:t>r</w:t>
      </w:r>
      <w:r w:rsidR="00157974">
        <w:rPr>
          <w:lang w:val="es-ES"/>
        </w:rPr>
        <w:t xml:space="preserve"> </w:t>
      </w:r>
      <w:r w:rsidRPr="00D15537">
        <w:rPr>
          <w:lang w:val="es-ES"/>
        </w:rPr>
        <w:t>el instrumento crediticio, enfocándose en un conjunto delimitado de criterios o productos financiables. Este enfoque permitiría concentrar los esfuerzos de análisis de riesgo, optimizar la gestión operativa y reducir el universo de proveedores a manejar, logrando así mayor eficiencia en todo el proceso.</w:t>
      </w:r>
    </w:p>
    <w:p w14:paraId="3F7233BF" w14:textId="28B0FB2F" w:rsidR="00AF6A88" w:rsidRPr="00E33C11" w:rsidRDefault="00AF6A88" w:rsidP="00E33C11">
      <w:pPr>
        <w:pStyle w:val="ListParagraph"/>
        <w:numPr>
          <w:ilvl w:val="0"/>
          <w:numId w:val="6"/>
        </w:numPr>
        <w:spacing w:before="120" w:after="120" w:line="240" w:lineRule="auto"/>
        <w:contextualSpacing w:val="0"/>
        <w:jc w:val="both"/>
        <w:rPr>
          <w:lang w:val="es-ES"/>
        </w:rPr>
      </w:pPr>
      <w:r w:rsidRPr="00E33C11">
        <w:rPr>
          <w:b/>
          <w:bCs/>
          <w:lang w:val="es-ES"/>
        </w:rPr>
        <w:t>Liquidez en divisas</w:t>
      </w:r>
      <w:r w:rsidR="00FD7C2F">
        <w:rPr>
          <w:b/>
          <w:bCs/>
          <w:lang w:val="es-ES"/>
        </w:rPr>
        <w:t>.</w:t>
      </w:r>
      <w:r w:rsidRPr="00E33C11">
        <w:rPr>
          <w:b/>
          <w:bCs/>
          <w:lang w:val="es-ES"/>
        </w:rPr>
        <w:t xml:space="preserve"> </w:t>
      </w:r>
      <w:r w:rsidRPr="00E33C11">
        <w:rPr>
          <w:lang w:val="es-ES"/>
        </w:rPr>
        <w:t xml:space="preserve">En el contexto actual, existe preocupación por la liquidez de las cuentas en divisas de los actores </w:t>
      </w:r>
      <w:r w:rsidR="0083077D">
        <w:rPr>
          <w:lang w:val="es-ES"/>
        </w:rPr>
        <w:t>no estatales</w:t>
      </w:r>
      <w:r w:rsidRPr="00E33C11">
        <w:rPr>
          <w:lang w:val="es-ES"/>
        </w:rPr>
        <w:t xml:space="preserve"> que reciben el crédito. Si los saldos </w:t>
      </w:r>
      <w:r w:rsidR="0083077D">
        <w:rPr>
          <w:lang w:val="es-ES"/>
        </w:rPr>
        <w:t>en divisas tienen</w:t>
      </w:r>
      <w:r w:rsidRPr="00E33C11">
        <w:rPr>
          <w:lang w:val="es-ES"/>
        </w:rPr>
        <w:t xml:space="preserve"> restricciones para </w:t>
      </w:r>
      <w:r w:rsidR="0083077D">
        <w:rPr>
          <w:lang w:val="es-ES"/>
        </w:rPr>
        <w:t xml:space="preserve">realizar </w:t>
      </w:r>
      <w:r w:rsidRPr="00E33C11">
        <w:rPr>
          <w:lang w:val="es-ES"/>
        </w:rPr>
        <w:t>pagos al exterior, el producto perdería atractivo y funcionalidad.</w:t>
      </w:r>
      <w:r w:rsidR="00E33C11">
        <w:rPr>
          <w:b/>
          <w:bCs/>
          <w:lang w:val="es-ES"/>
        </w:rPr>
        <w:t xml:space="preserve"> </w:t>
      </w:r>
      <w:r w:rsidRPr="00E33C11">
        <w:rPr>
          <w:lang w:val="es-ES"/>
        </w:rPr>
        <w:t xml:space="preserve">Para resolverlo, se propone que el instrumento opere de la siguiente manera:  </w:t>
      </w:r>
    </w:p>
    <w:p w14:paraId="1B37F763" w14:textId="1412AA11" w:rsidR="00AF6A88" w:rsidRPr="00E33C11" w:rsidRDefault="00AF6A88" w:rsidP="00E33C1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E33C11">
        <w:rPr>
          <w:lang w:val="es-ES"/>
        </w:rPr>
        <w:t xml:space="preserve">Una entidad financiera nacional (por ejemplo, FIAMAX) actuaría como </w:t>
      </w:r>
      <w:r w:rsidRPr="00297C46">
        <w:rPr>
          <w:b/>
          <w:bCs/>
          <w:lang w:val="es-ES"/>
        </w:rPr>
        <w:t>institución minorista</w:t>
      </w:r>
      <w:r w:rsidRPr="00E33C11">
        <w:rPr>
          <w:lang w:val="es-ES"/>
        </w:rPr>
        <w:t xml:space="preserve">, evaluando y </w:t>
      </w:r>
      <w:r w:rsidR="00AD368D">
        <w:rPr>
          <w:lang w:val="es-ES"/>
        </w:rPr>
        <w:t>recomendando la aprobación de</w:t>
      </w:r>
      <w:r w:rsidRPr="00E33C11">
        <w:rPr>
          <w:lang w:val="es-ES"/>
        </w:rPr>
        <w:t xml:space="preserve"> </w:t>
      </w:r>
      <w:r w:rsidR="00AD368D">
        <w:rPr>
          <w:lang w:val="es-ES"/>
        </w:rPr>
        <w:t>los financiamientos</w:t>
      </w:r>
      <w:r w:rsidRPr="00E33C11">
        <w:rPr>
          <w:lang w:val="es-ES"/>
        </w:rPr>
        <w:t>, dando seguimiento, gestionando cobros, y brindando asistencia</w:t>
      </w:r>
      <w:r w:rsidR="00297C46">
        <w:rPr>
          <w:lang w:val="es-ES"/>
        </w:rPr>
        <w:t xml:space="preserve"> técnica</w:t>
      </w:r>
      <w:r w:rsidRPr="00E33C11">
        <w:rPr>
          <w:lang w:val="es-ES"/>
        </w:rPr>
        <w:t xml:space="preserve"> y educación financiera.  </w:t>
      </w:r>
    </w:p>
    <w:p w14:paraId="4D1A5201" w14:textId="54C2E178" w:rsidR="00AF6A88" w:rsidRPr="00E33C11" w:rsidRDefault="00AF6A88" w:rsidP="00E33C1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E33C11">
        <w:rPr>
          <w:lang w:val="es-ES"/>
        </w:rPr>
        <w:t>Una institución financiera</w:t>
      </w:r>
      <w:r w:rsidR="00C1720A" w:rsidRPr="00C1720A">
        <w:rPr>
          <w:lang w:val="es-ES"/>
        </w:rPr>
        <w:t xml:space="preserve"> </w:t>
      </w:r>
      <w:r w:rsidR="00C1720A" w:rsidRPr="00E33C11">
        <w:rPr>
          <w:lang w:val="es-ES"/>
        </w:rPr>
        <w:t>nacional</w:t>
      </w:r>
      <w:r w:rsidR="009F69DB">
        <w:rPr>
          <w:lang w:val="es-ES"/>
        </w:rPr>
        <w:t xml:space="preserve"> con cuentas en el exterior</w:t>
      </w:r>
      <w:r w:rsidR="009F69DB">
        <w:rPr>
          <w:rStyle w:val="FootnoteReference"/>
          <w:lang w:val="es-ES"/>
        </w:rPr>
        <w:footnoteReference w:id="2"/>
      </w:r>
      <w:r w:rsidR="009F69DB">
        <w:rPr>
          <w:lang w:val="es-ES"/>
        </w:rPr>
        <w:t xml:space="preserve"> </w:t>
      </w:r>
      <w:r w:rsidRPr="00E33C11">
        <w:rPr>
          <w:lang w:val="es-ES"/>
        </w:rPr>
        <w:t xml:space="preserve">operaría como </w:t>
      </w:r>
      <w:r w:rsidR="00297C46" w:rsidRPr="00297C46">
        <w:rPr>
          <w:b/>
          <w:bCs/>
          <w:lang w:val="es-ES"/>
        </w:rPr>
        <w:t xml:space="preserve">institución </w:t>
      </w:r>
      <w:r w:rsidRPr="00297C46">
        <w:rPr>
          <w:b/>
          <w:bCs/>
          <w:lang w:val="es-ES"/>
        </w:rPr>
        <w:t>mayorista</w:t>
      </w:r>
      <w:r w:rsidRPr="00E33C11">
        <w:rPr>
          <w:lang w:val="es-ES"/>
        </w:rPr>
        <w:t xml:space="preserve">, </w:t>
      </w:r>
      <w:r w:rsidR="00297C46">
        <w:rPr>
          <w:lang w:val="es-ES"/>
        </w:rPr>
        <w:t>realizando la tesorería de las operaciones</w:t>
      </w:r>
      <w:r w:rsidRPr="00E33C11">
        <w:rPr>
          <w:lang w:val="es-ES"/>
        </w:rPr>
        <w:t xml:space="preserve"> asociadas a los financiamientos, por indicación de la institución minorista.  </w:t>
      </w:r>
    </w:p>
    <w:p w14:paraId="011394D0" w14:textId="41CBB3D1" w:rsidR="00AF6A88" w:rsidRDefault="00297C46" w:rsidP="00297C46">
      <w:pPr>
        <w:spacing w:before="120" w:after="120" w:line="240" w:lineRule="auto"/>
        <w:ind w:left="357"/>
        <w:jc w:val="both"/>
        <w:rPr>
          <w:lang w:val="es-ES"/>
        </w:rPr>
      </w:pPr>
      <w:r>
        <w:rPr>
          <w:lang w:val="es-ES"/>
        </w:rPr>
        <w:t>En la imagen siguiente se muestra el flujo de un crédito tipo, a manera de ejemplo</w:t>
      </w:r>
      <w:r w:rsidR="00AF6A88" w:rsidRPr="00AF6A88">
        <w:rPr>
          <w:lang w:val="es-ES"/>
        </w:rPr>
        <w:t xml:space="preserve">:  </w:t>
      </w:r>
    </w:p>
    <w:tbl>
      <w:tblPr>
        <w:tblStyle w:val="TableGrid"/>
        <w:tblW w:w="0" w:type="auto"/>
        <w:tblInd w:w="357" w:type="dxa"/>
        <w:tblBorders>
          <w:top w:val="single" w:sz="4" w:space="0" w:color="0070C0"/>
          <w:left w:val="none" w:sz="0" w:space="0" w:color="auto"/>
          <w:bottom w:val="single" w:sz="4" w:space="0" w:color="0070C0"/>
          <w:right w:val="none" w:sz="0" w:space="0" w:color="auto"/>
          <w:insideH w:val="single" w:sz="4" w:space="0" w:color="0070C0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47"/>
      </w:tblGrid>
      <w:tr w:rsidR="00FD7C2F" w14:paraId="7D1A2597" w14:textId="77777777" w:rsidTr="00FD7C2F">
        <w:tc>
          <w:tcPr>
            <w:tcW w:w="9394" w:type="dxa"/>
            <w:shd w:val="clear" w:color="auto" w:fill="DAE9F7" w:themeFill="text2" w:themeFillTint="1A"/>
          </w:tcPr>
          <w:p w14:paraId="177BA29D" w14:textId="64FC7C7B" w:rsidR="00FD7C2F" w:rsidRDefault="00FD7C2F" w:rsidP="00FD7C2F">
            <w:pPr>
              <w:jc w:val="both"/>
              <w:rPr>
                <w:lang w:val="es-ES"/>
              </w:rPr>
            </w:pPr>
            <w:r w:rsidRPr="00FD7C2F">
              <w:rPr>
                <w:b/>
                <w:bCs/>
                <w:lang w:val="es-ES"/>
              </w:rPr>
              <w:t>Esquema 1.</w:t>
            </w:r>
            <w:r>
              <w:rPr>
                <w:lang w:val="es-ES"/>
              </w:rPr>
              <w:t xml:space="preserve"> Flujo tipo de operaciones para el crédito en divisas a actores no estatales</w:t>
            </w:r>
          </w:p>
        </w:tc>
      </w:tr>
      <w:tr w:rsidR="00FD7C2F" w14:paraId="63E6ADF3" w14:textId="77777777" w:rsidTr="00FD7C2F">
        <w:tc>
          <w:tcPr>
            <w:tcW w:w="9394" w:type="dxa"/>
          </w:tcPr>
          <w:p w14:paraId="6F2119C6" w14:textId="74638C39" w:rsidR="00FD7C2F" w:rsidRDefault="004C1872" w:rsidP="00FD7C2F">
            <w:pPr>
              <w:jc w:val="both"/>
              <w:rPr>
                <w:lang w:val="es-ES"/>
              </w:rPr>
            </w:pPr>
            <w:bookmarkStart w:id="0" w:name="_GoBack"/>
            <w:r>
              <w:rPr>
                <w:noProof/>
                <w:lang w:val="en-GB" w:eastAsia="en-GB"/>
              </w:rPr>
              <w:drawing>
                <wp:inline distT="0" distB="0" distL="0" distR="0" wp14:anchorId="2A074E09" wp14:editId="75497553">
                  <wp:extent cx="5971540" cy="35852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1540" cy="3585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67408E81" w14:textId="2E637FA0" w:rsidR="00AF6A88" w:rsidRPr="00297C46" w:rsidRDefault="00AF6A88" w:rsidP="00297C46">
      <w:pPr>
        <w:pStyle w:val="ListParagraph"/>
        <w:numPr>
          <w:ilvl w:val="0"/>
          <w:numId w:val="8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297C46">
        <w:rPr>
          <w:lang w:val="es-ES"/>
        </w:rPr>
        <w:t>FIAMAX evalúa los proyectos</w:t>
      </w:r>
      <w:r w:rsidR="00910D71">
        <w:rPr>
          <w:lang w:val="es-ES"/>
        </w:rPr>
        <w:t xml:space="preserve"> de financiamiento</w:t>
      </w:r>
      <w:r w:rsidRPr="00297C46">
        <w:rPr>
          <w:lang w:val="es-ES"/>
        </w:rPr>
        <w:t xml:space="preserve"> y, tras la aprobación del Comité Directivo, acuerda el contrato de crédito con </w:t>
      </w:r>
      <w:r w:rsidR="00910D71">
        <w:rPr>
          <w:lang w:val="es-ES"/>
        </w:rPr>
        <w:t>una</w:t>
      </w:r>
      <w:r w:rsidRPr="00297C46">
        <w:rPr>
          <w:lang w:val="es-ES"/>
        </w:rPr>
        <w:t xml:space="preserve"> MiPyme.  </w:t>
      </w:r>
    </w:p>
    <w:p w14:paraId="32A7EBBE" w14:textId="0EEFF3BE" w:rsidR="00AF6A88" w:rsidRPr="00297C46" w:rsidRDefault="00AF6A88" w:rsidP="00297C46">
      <w:pPr>
        <w:pStyle w:val="ListParagraph"/>
        <w:numPr>
          <w:ilvl w:val="0"/>
          <w:numId w:val="8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297C46">
        <w:rPr>
          <w:lang w:val="es-ES"/>
        </w:rPr>
        <w:lastRenderedPageBreak/>
        <w:t>Cuando la MiPyme necesite pagar a proveedores, indica a FIAMAX la cuenta del proveedor. FIAMAX solicita a</w:t>
      </w:r>
      <w:r w:rsidR="009F69DB">
        <w:rPr>
          <w:lang w:val="es-ES"/>
        </w:rPr>
        <w:t xml:space="preserve"> la entidad financiera con cuenta en el exterior</w:t>
      </w:r>
      <w:r w:rsidRPr="00297C46">
        <w:rPr>
          <w:lang w:val="es-ES"/>
        </w:rPr>
        <w:t xml:space="preserve"> (donde están los recursos del proyecto) realizar el pago (siempre entre cuentas en el exterior).  </w:t>
      </w:r>
    </w:p>
    <w:p w14:paraId="6F0BA725" w14:textId="31FD18B7" w:rsidR="00AF6A88" w:rsidRPr="00297C46" w:rsidRDefault="00AF6A88" w:rsidP="00297C46">
      <w:pPr>
        <w:pStyle w:val="ListParagraph"/>
        <w:numPr>
          <w:ilvl w:val="0"/>
          <w:numId w:val="8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297C46">
        <w:rPr>
          <w:lang w:val="es-ES"/>
        </w:rPr>
        <w:t xml:space="preserve">El proveedor se encarga de </w:t>
      </w:r>
      <w:r w:rsidR="008D2505">
        <w:rPr>
          <w:lang w:val="es-ES"/>
        </w:rPr>
        <w:t>entregar</w:t>
      </w:r>
      <w:r w:rsidRPr="00297C46">
        <w:rPr>
          <w:lang w:val="es-ES"/>
        </w:rPr>
        <w:t xml:space="preserve"> en el país los recursos importados por la MiPyme.  </w:t>
      </w:r>
    </w:p>
    <w:p w14:paraId="2D182F74" w14:textId="134253C9" w:rsidR="00AF6A88" w:rsidRPr="00297C46" w:rsidRDefault="00AF6A88" w:rsidP="00297C46">
      <w:pPr>
        <w:pStyle w:val="ListParagraph"/>
        <w:numPr>
          <w:ilvl w:val="0"/>
          <w:numId w:val="8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297C46">
        <w:rPr>
          <w:lang w:val="es-ES"/>
        </w:rPr>
        <w:t xml:space="preserve">Tras utilizar los insumos importados y </w:t>
      </w:r>
      <w:r w:rsidR="00C74D3B">
        <w:rPr>
          <w:lang w:val="es-ES"/>
        </w:rPr>
        <w:t xml:space="preserve">realizar </w:t>
      </w:r>
      <w:r w:rsidRPr="00297C46">
        <w:rPr>
          <w:lang w:val="es-ES"/>
        </w:rPr>
        <w:t>otros gastos en moneda local (que FIAMAX también puede financiar</w:t>
      </w:r>
      <w:r w:rsidR="00C74D3B">
        <w:rPr>
          <w:lang w:val="es-ES"/>
        </w:rPr>
        <w:t xml:space="preserve"> con sus recursos en pesos</w:t>
      </w:r>
      <w:r w:rsidRPr="00297C46">
        <w:rPr>
          <w:lang w:val="es-ES"/>
        </w:rPr>
        <w:t xml:space="preserve">), la MiPyme exporta a su cliente.  </w:t>
      </w:r>
    </w:p>
    <w:p w14:paraId="4CF99D30" w14:textId="7E54BFD6" w:rsidR="00423C03" w:rsidRPr="00C451FA" w:rsidRDefault="008576D6" w:rsidP="00946BC6">
      <w:pPr>
        <w:pStyle w:val="ListParagraph"/>
        <w:numPr>
          <w:ilvl w:val="0"/>
          <w:numId w:val="8"/>
        </w:numPr>
        <w:spacing w:before="120" w:after="120" w:line="240" w:lineRule="auto"/>
        <w:ind w:left="714" w:hanging="357"/>
        <w:contextualSpacing w:val="0"/>
        <w:jc w:val="both"/>
        <w:rPr>
          <w:lang w:val="es-ES"/>
        </w:rPr>
      </w:pPr>
      <w:r w:rsidRPr="00C451FA">
        <w:rPr>
          <w:lang w:val="es-ES"/>
        </w:rPr>
        <w:t>E</w:t>
      </w:r>
      <w:r w:rsidR="00AF6A88" w:rsidRPr="00C451FA">
        <w:rPr>
          <w:lang w:val="es-ES"/>
        </w:rPr>
        <w:t xml:space="preserve">l cliente de la MiPyme </w:t>
      </w:r>
      <w:r w:rsidR="00602D91" w:rsidRPr="00C451FA">
        <w:rPr>
          <w:lang w:val="es-ES"/>
        </w:rPr>
        <w:t>trasferir el pago por las exportaciones</w:t>
      </w:r>
      <w:r w:rsidR="00AF6A88" w:rsidRPr="00C451FA">
        <w:rPr>
          <w:lang w:val="es-ES"/>
        </w:rPr>
        <w:t xml:space="preserve"> a </w:t>
      </w:r>
      <w:r w:rsidR="009F69DB">
        <w:rPr>
          <w:lang w:val="es-ES"/>
        </w:rPr>
        <w:t>la entidad financiera</w:t>
      </w:r>
      <w:r w:rsidR="00C74D3B" w:rsidRPr="00C451FA">
        <w:rPr>
          <w:lang w:val="es-ES"/>
        </w:rPr>
        <w:t xml:space="preserve"> (entre cuentas en el exterior)</w:t>
      </w:r>
      <w:r w:rsidR="00AF6A88" w:rsidRPr="00C451FA">
        <w:rPr>
          <w:lang w:val="es-ES"/>
        </w:rPr>
        <w:t xml:space="preserve">. </w:t>
      </w:r>
      <w:r w:rsidR="009F69DB">
        <w:rPr>
          <w:lang w:val="es-ES"/>
        </w:rPr>
        <w:t>La entidad financiera</w:t>
      </w:r>
      <w:r w:rsidR="00AF6A88" w:rsidRPr="00C451FA">
        <w:rPr>
          <w:lang w:val="es-ES"/>
        </w:rPr>
        <w:t xml:space="preserve"> notifica a FIAMAX </w:t>
      </w:r>
      <w:r w:rsidR="00F35811" w:rsidRPr="00C451FA">
        <w:rPr>
          <w:lang w:val="es-ES"/>
        </w:rPr>
        <w:t>que se han recibido los fondos, en</w:t>
      </w:r>
      <w:r w:rsidR="00AF6A88" w:rsidRPr="00C451FA">
        <w:rPr>
          <w:lang w:val="es-ES"/>
        </w:rPr>
        <w:t xml:space="preserve"> cumplimiento del contrato.</w:t>
      </w:r>
      <w:r w:rsidR="00C451FA">
        <w:rPr>
          <w:lang w:val="es-ES"/>
        </w:rPr>
        <w:t xml:space="preserve"> </w:t>
      </w:r>
      <w:r w:rsidR="004659D5" w:rsidRPr="00C451FA">
        <w:rPr>
          <w:lang w:val="es-ES"/>
        </w:rPr>
        <w:t xml:space="preserve">Del monto de divisas recibidos, FIAMAX cobra lo correspondiente a la amortización e intereses </w:t>
      </w:r>
      <w:r w:rsidR="00946BC6" w:rsidRPr="00C451FA">
        <w:rPr>
          <w:lang w:val="es-ES"/>
        </w:rPr>
        <w:t>del crédito</w:t>
      </w:r>
      <w:r w:rsidR="004659D5" w:rsidRPr="00C451FA">
        <w:rPr>
          <w:lang w:val="es-ES"/>
        </w:rPr>
        <w:t xml:space="preserve">. </w:t>
      </w:r>
      <w:r w:rsidR="00946BC6" w:rsidRPr="00C451FA">
        <w:rPr>
          <w:lang w:val="es-ES"/>
        </w:rPr>
        <w:t>Los saldos restantes pueden</w:t>
      </w:r>
      <w:r w:rsidR="004659D5" w:rsidRPr="00C451FA">
        <w:rPr>
          <w:lang w:val="es-ES"/>
        </w:rPr>
        <w:t xml:space="preserve"> </w:t>
      </w:r>
      <w:r w:rsidR="00946BC6" w:rsidRPr="00C451FA">
        <w:rPr>
          <w:lang w:val="es-ES"/>
        </w:rPr>
        <w:t>transferirse</w:t>
      </w:r>
      <w:r w:rsidR="00423C03" w:rsidRPr="00C451FA">
        <w:rPr>
          <w:lang w:val="es-ES"/>
        </w:rPr>
        <w:t xml:space="preserve"> a:</w:t>
      </w:r>
    </w:p>
    <w:p w14:paraId="5C0660EF" w14:textId="3078AF31" w:rsidR="00C451FA" w:rsidRDefault="00C451FA" w:rsidP="00423C03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jc w:val="both"/>
        <w:rPr>
          <w:lang w:val="es-ES"/>
        </w:rPr>
      </w:pPr>
      <w:r>
        <w:rPr>
          <w:lang w:val="es-ES"/>
        </w:rPr>
        <w:t>O</w:t>
      </w:r>
      <w:r w:rsidR="004659D5" w:rsidRPr="00423C03">
        <w:rPr>
          <w:lang w:val="es-ES"/>
        </w:rPr>
        <w:t>tra cuenta que indique la MiPyme</w:t>
      </w:r>
      <w:r>
        <w:rPr>
          <w:lang w:val="es-ES"/>
        </w:rPr>
        <w:t>.</w:t>
      </w:r>
    </w:p>
    <w:p w14:paraId="13E1361B" w14:textId="192A2545" w:rsidR="00AF6A88" w:rsidRPr="00423C03" w:rsidRDefault="00C451FA" w:rsidP="00423C03">
      <w:pPr>
        <w:pStyle w:val="ListParagraph"/>
        <w:numPr>
          <w:ilvl w:val="0"/>
          <w:numId w:val="9"/>
        </w:numPr>
        <w:spacing w:before="120" w:after="120" w:line="240" w:lineRule="auto"/>
        <w:ind w:left="1077" w:hanging="357"/>
        <w:contextualSpacing w:val="0"/>
        <w:jc w:val="both"/>
        <w:rPr>
          <w:lang w:val="es-ES"/>
        </w:rPr>
      </w:pPr>
      <w:r>
        <w:rPr>
          <w:lang w:val="es-ES"/>
        </w:rPr>
        <w:t>U</w:t>
      </w:r>
      <w:r w:rsidR="004D5819" w:rsidRPr="00423C03">
        <w:rPr>
          <w:lang w:val="es-ES"/>
        </w:rPr>
        <w:t xml:space="preserve">na cuenta en divisas que la MiPyme tendría derecho a crear en FIAMAX (con respaldo de los recursos en </w:t>
      </w:r>
      <w:r w:rsidR="009F69DB">
        <w:rPr>
          <w:lang w:val="es-ES"/>
        </w:rPr>
        <w:t>la entidad financiera</w:t>
      </w:r>
      <w:r w:rsidR="004D5819" w:rsidRPr="00423C03">
        <w:rPr>
          <w:lang w:val="es-ES"/>
        </w:rPr>
        <w:t>).</w:t>
      </w:r>
      <w:r w:rsidR="00AF6A88" w:rsidRPr="00423C03">
        <w:rPr>
          <w:lang w:val="es-ES"/>
        </w:rPr>
        <w:t xml:space="preserve">  </w:t>
      </w:r>
    </w:p>
    <w:p w14:paraId="39ACB74B" w14:textId="31A7F682" w:rsidR="00025507" w:rsidRPr="00025507" w:rsidRDefault="00025507" w:rsidP="00025507">
      <w:pPr>
        <w:spacing w:before="240" w:after="120" w:line="240" w:lineRule="auto"/>
        <w:jc w:val="both"/>
        <w:rPr>
          <w:b/>
          <w:bCs/>
          <w:lang w:val="es-ES"/>
        </w:rPr>
      </w:pPr>
      <w:r w:rsidRPr="00025507">
        <w:rPr>
          <w:b/>
          <w:bCs/>
          <w:lang w:val="es-ES"/>
        </w:rPr>
        <w:t>Beneficios esperados del instrumento</w:t>
      </w:r>
    </w:p>
    <w:p w14:paraId="6910BB21" w14:textId="131C8005" w:rsidR="009D3406" w:rsidRPr="009D3406" w:rsidRDefault="009D3406" w:rsidP="009D3406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9D3406">
        <w:rPr>
          <w:lang w:val="es-ES"/>
        </w:rPr>
        <w:t xml:space="preserve">Creado un fondo en divisas para el financiamiento </w:t>
      </w:r>
      <w:r w:rsidR="00946B5E">
        <w:rPr>
          <w:lang w:val="es-ES"/>
        </w:rPr>
        <w:t>de los nuevos actores</w:t>
      </w:r>
      <w:r w:rsidRPr="009D3406">
        <w:rPr>
          <w:lang w:val="es-ES"/>
        </w:rPr>
        <w:t xml:space="preserve">, con capacidad para crecer y permanecer más allá de la vida del proyecto, bajo criterios que </w:t>
      </w:r>
      <w:r w:rsidR="00581C3F">
        <w:rPr>
          <w:lang w:val="es-ES"/>
        </w:rPr>
        <w:t>apoyan</w:t>
      </w:r>
      <w:r w:rsidRPr="009D3406">
        <w:rPr>
          <w:lang w:val="es-ES"/>
        </w:rPr>
        <w:t xml:space="preserve"> la competitividad empresarial, la innovación, la productividad</w:t>
      </w:r>
      <w:r>
        <w:rPr>
          <w:lang w:val="es-ES"/>
        </w:rPr>
        <w:t>,</w:t>
      </w:r>
      <w:r w:rsidRPr="009D3406">
        <w:rPr>
          <w:lang w:val="es-ES"/>
        </w:rPr>
        <w:t xml:space="preserve"> y los impactos sociales, energéticos y ambientales.</w:t>
      </w:r>
    </w:p>
    <w:p w14:paraId="0563B58E" w14:textId="77777777" w:rsidR="00581C3F" w:rsidRDefault="00581C3F" w:rsidP="00581C3F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>
        <w:rPr>
          <w:lang w:val="es-ES"/>
        </w:rPr>
        <w:t xml:space="preserve">Lograda una mayor bancarización e inclusión financiera de los nuevos actores económicos. </w:t>
      </w:r>
    </w:p>
    <w:p w14:paraId="5CC029E6" w14:textId="77777777" w:rsidR="007E3B21" w:rsidRDefault="007E3B21" w:rsidP="007E3B21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>
        <w:rPr>
          <w:lang w:val="es-ES"/>
        </w:rPr>
        <w:t xml:space="preserve">Favorecida la participación de los nuevos actores económicos en actividades de exportación y apertura hacia nuevos mercados, mediante incentivos financieros innovadores.  </w:t>
      </w:r>
    </w:p>
    <w:p w14:paraId="3AECC854" w14:textId="361088FE" w:rsidR="008D5AC7" w:rsidRPr="003019C9" w:rsidRDefault="008D5AC7" w:rsidP="008D5AC7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>
        <w:rPr>
          <w:lang w:val="es-ES"/>
        </w:rPr>
        <w:t>Abierta la posibilidad de apertura de cuentas en divisas para actores no estatales asociados a proyectos de transformación productiva, en una institución financiera nacional con respaldo de liquidez.</w:t>
      </w:r>
    </w:p>
    <w:p w14:paraId="721BCD2E" w14:textId="77777777" w:rsidR="003019C9" w:rsidRPr="007E3B21" w:rsidRDefault="003019C9" w:rsidP="003019C9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9D3406">
        <w:rPr>
          <w:lang w:val="es-ES"/>
        </w:rPr>
        <w:t xml:space="preserve">Incrementada la sensibilización </w:t>
      </w:r>
      <w:r>
        <w:rPr>
          <w:lang w:val="es-ES"/>
        </w:rPr>
        <w:t xml:space="preserve">de actores nacionales clave </w:t>
      </w:r>
      <w:r w:rsidRPr="009D3406">
        <w:rPr>
          <w:lang w:val="es-ES"/>
        </w:rPr>
        <w:t xml:space="preserve">sobre la necesidad de desarrollar productos e incentivos financieros para diferentes segmentos del sector </w:t>
      </w:r>
      <w:r>
        <w:rPr>
          <w:lang w:val="es-ES"/>
        </w:rPr>
        <w:t>no estatal</w:t>
      </w:r>
      <w:r w:rsidRPr="009D3406">
        <w:rPr>
          <w:lang w:val="es-ES"/>
        </w:rPr>
        <w:t>, que alineen los intereses privados y sociales y, mediante ello, fomenten su bancarización, integración fiscal y contribución al desarrollo productivo y social.</w:t>
      </w:r>
    </w:p>
    <w:p w14:paraId="429D21A8" w14:textId="180D6AE6" w:rsidR="008D5AC7" w:rsidRPr="008D5AC7" w:rsidRDefault="009D3406" w:rsidP="008D5AC7">
      <w:pPr>
        <w:pStyle w:val="ListParagraph"/>
        <w:numPr>
          <w:ilvl w:val="0"/>
          <w:numId w:val="2"/>
        </w:numPr>
        <w:spacing w:before="120" w:after="120" w:line="240" w:lineRule="auto"/>
        <w:ind w:left="357" w:hanging="357"/>
        <w:contextualSpacing w:val="0"/>
        <w:jc w:val="both"/>
        <w:rPr>
          <w:lang w:val="es-ES"/>
        </w:rPr>
      </w:pPr>
      <w:r w:rsidRPr="009D3406">
        <w:rPr>
          <w:lang w:val="es-ES"/>
        </w:rPr>
        <w:t xml:space="preserve">Fomentada la educación financiera y la formación de capacidades en </w:t>
      </w:r>
      <w:r w:rsidR="00581C3F">
        <w:rPr>
          <w:lang w:val="es-ES"/>
        </w:rPr>
        <w:t>los nuevos actores</w:t>
      </w:r>
      <w:r w:rsidRPr="009D3406">
        <w:rPr>
          <w:lang w:val="es-ES"/>
        </w:rPr>
        <w:t>, el sistema y los reguladores financieros; l</w:t>
      </w:r>
      <w:r w:rsidR="00581C3F">
        <w:rPr>
          <w:lang w:val="es-ES"/>
        </w:rPr>
        <w:t>o</w:t>
      </w:r>
      <w:r w:rsidRPr="009D3406">
        <w:rPr>
          <w:lang w:val="es-ES"/>
        </w:rPr>
        <w:t>s primer</w:t>
      </w:r>
      <w:r w:rsidR="00581C3F">
        <w:rPr>
          <w:lang w:val="es-ES"/>
        </w:rPr>
        <w:t>o</w:t>
      </w:r>
      <w:r w:rsidRPr="009D3406">
        <w:rPr>
          <w:lang w:val="es-ES"/>
        </w:rPr>
        <w:t>s en la preparación de proyectos bancables y la gestión financiera de sus negocios, los segundos en el diseño y aplicación de productos financieros a la medida del sector privado.</w:t>
      </w:r>
    </w:p>
    <w:sectPr w:rsidR="008D5AC7" w:rsidRPr="008D5AC7" w:rsidSect="003E0C6F">
      <w:headerReference w:type="default" r:id="rId13"/>
      <w:footerReference w:type="default" r:id="rId14"/>
      <w:pgSz w:w="12240" w:h="15840" w:code="1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EB49F" w14:textId="77777777" w:rsidR="00457B47" w:rsidRDefault="00457B47" w:rsidP="00A50A86">
      <w:pPr>
        <w:spacing w:after="0" w:line="240" w:lineRule="auto"/>
      </w:pPr>
      <w:r>
        <w:separator/>
      </w:r>
    </w:p>
  </w:endnote>
  <w:endnote w:type="continuationSeparator" w:id="0">
    <w:p w14:paraId="3340235C" w14:textId="77777777" w:rsidR="00457B47" w:rsidRDefault="00457B47" w:rsidP="00A5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8108205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ED3B48" w14:textId="72877793" w:rsidR="00A50A86" w:rsidRPr="00A50A86" w:rsidRDefault="00A50A86" w:rsidP="00A50A86">
        <w:pPr>
          <w:pStyle w:val="Footer"/>
          <w:jc w:val="center"/>
          <w:rPr>
            <w:sz w:val="20"/>
            <w:szCs w:val="20"/>
          </w:rPr>
        </w:pPr>
        <w:r w:rsidRPr="00A50A86">
          <w:rPr>
            <w:sz w:val="20"/>
            <w:szCs w:val="20"/>
          </w:rPr>
          <w:fldChar w:fldCharType="begin"/>
        </w:r>
        <w:r w:rsidRPr="00A50A86">
          <w:rPr>
            <w:sz w:val="20"/>
            <w:szCs w:val="20"/>
          </w:rPr>
          <w:instrText xml:space="preserve"> PAGE   \* MERGEFORMAT </w:instrText>
        </w:r>
        <w:r w:rsidRPr="00A50A86">
          <w:rPr>
            <w:sz w:val="20"/>
            <w:szCs w:val="20"/>
          </w:rPr>
          <w:fldChar w:fldCharType="separate"/>
        </w:r>
        <w:r w:rsidR="004C1872">
          <w:rPr>
            <w:noProof/>
            <w:sz w:val="20"/>
            <w:szCs w:val="20"/>
          </w:rPr>
          <w:t>4</w:t>
        </w:r>
        <w:r w:rsidRPr="00A50A86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12520" w14:textId="77777777" w:rsidR="00457B47" w:rsidRDefault="00457B47" w:rsidP="00A50A86">
      <w:pPr>
        <w:spacing w:after="0" w:line="240" w:lineRule="auto"/>
      </w:pPr>
      <w:r>
        <w:separator/>
      </w:r>
    </w:p>
  </w:footnote>
  <w:footnote w:type="continuationSeparator" w:id="0">
    <w:p w14:paraId="05B1C2E9" w14:textId="77777777" w:rsidR="00457B47" w:rsidRDefault="00457B47" w:rsidP="00A50A86">
      <w:pPr>
        <w:spacing w:after="0" w:line="240" w:lineRule="auto"/>
      </w:pPr>
      <w:r>
        <w:continuationSeparator/>
      </w:r>
    </w:p>
  </w:footnote>
  <w:footnote w:id="1">
    <w:p w14:paraId="39FE0CA1" w14:textId="2C1961A4" w:rsidR="00E74628" w:rsidRPr="008B5758" w:rsidRDefault="00E74628">
      <w:pPr>
        <w:pStyle w:val="FootnoteText"/>
        <w:rPr>
          <w:lang w:val="es-ES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8B5758" w:rsidRPr="00EA74C9">
          <w:rPr>
            <w:rStyle w:val="Hyperlink"/>
          </w:rPr>
          <w:t>https://www.ipscuba.net/economia/actores-no-estatales-en-cuba-un-potencial-desaprovechado/</w:t>
        </w:r>
      </w:hyperlink>
      <w:r w:rsidR="008B5758">
        <w:t xml:space="preserve"> </w:t>
      </w:r>
    </w:p>
  </w:footnote>
  <w:footnote w:id="2">
    <w:p w14:paraId="5350944E" w14:textId="47FFC5E7" w:rsidR="009F69DB" w:rsidRPr="009F69DB" w:rsidRDefault="009F69DB">
      <w:pPr>
        <w:pStyle w:val="FootnoteText"/>
        <w:rPr>
          <w:lang w:val="es-AR"/>
        </w:rPr>
      </w:pPr>
      <w:r>
        <w:rPr>
          <w:rStyle w:val="FootnoteReference"/>
        </w:rPr>
        <w:footnoteRef/>
      </w:r>
      <w:r>
        <w:t xml:space="preserve"> Incluyendo instituciones financieras nacionales como potencialmente el banco</w:t>
      </w:r>
      <w:r w:rsidRPr="009F69DB">
        <w:t xml:space="preserve"> Alto Cedro</w:t>
      </w:r>
      <w:r>
        <w:t xml:space="preserve"> u otras según la presencia en el país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90187" w14:textId="09C1AFDA" w:rsidR="00D51E77" w:rsidRPr="00D51E77" w:rsidRDefault="00D51E77" w:rsidP="00D51E77">
    <w:pPr>
      <w:pStyle w:val="Header"/>
      <w:jc w:val="right"/>
      <w:rPr>
        <w:color w:val="7F7F7F" w:themeColor="text1" w:themeTint="80"/>
        <w:lang w:val="es-ES"/>
      </w:rPr>
    </w:pPr>
    <w:r w:rsidRPr="00D51E77">
      <w:rPr>
        <w:color w:val="7F7F7F" w:themeColor="text1" w:themeTint="80"/>
        <w:lang w:val="es-ES"/>
      </w:rPr>
      <w:t>BORRADOR 27.03.2025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B48B8"/>
    <w:multiLevelType w:val="hybridMultilevel"/>
    <w:tmpl w:val="F36891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13010"/>
    <w:multiLevelType w:val="hybridMultilevel"/>
    <w:tmpl w:val="5D447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0AB86C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F239BA"/>
    <w:multiLevelType w:val="hybridMultilevel"/>
    <w:tmpl w:val="BA8640AC"/>
    <w:lvl w:ilvl="0" w:tplc="04090015">
      <w:start w:val="1"/>
      <w:numFmt w:val="upperLetter"/>
      <w:lvlText w:val="%1."/>
      <w:lvlJc w:val="left"/>
      <w:pPr>
        <w:ind w:left="717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3261090"/>
    <w:multiLevelType w:val="hybridMultilevel"/>
    <w:tmpl w:val="2B1C59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4A5F8D"/>
    <w:multiLevelType w:val="hybridMultilevel"/>
    <w:tmpl w:val="E6BAEE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E35C87"/>
    <w:multiLevelType w:val="hybridMultilevel"/>
    <w:tmpl w:val="E2D49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482A6B"/>
    <w:multiLevelType w:val="hybridMultilevel"/>
    <w:tmpl w:val="2C6EF2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660FA7"/>
    <w:multiLevelType w:val="hybridMultilevel"/>
    <w:tmpl w:val="8A22AF94"/>
    <w:lvl w:ilvl="0" w:tplc="B50E591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7C3E18D3"/>
    <w:multiLevelType w:val="hybridMultilevel"/>
    <w:tmpl w:val="1FE886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C6F"/>
    <w:rsid w:val="000024CD"/>
    <w:rsid w:val="00010EA6"/>
    <w:rsid w:val="00012C24"/>
    <w:rsid w:val="00014111"/>
    <w:rsid w:val="00016BE5"/>
    <w:rsid w:val="00017449"/>
    <w:rsid w:val="00025507"/>
    <w:rsid w:val="00036FF8"/>
    <w:rsid w:val="0004173C"/>
    <w:rsid w:val="000424D9"/>
    <w:rsid w:val="00046099"/>
    <w:rsid w:val="0005166B"/>
    <w:rsid w:val="00054022"/>
    <w:rsid w:val="000A16B5"/>
    <w:rsid w:val="000A48FD"/>
    <w:rsid w:val="000C0DAD"/>
    <w:rsid w:val="000E65D3"/>
    <w:rsid w:val="000E7AED"/>
    <w:rsid w:val="000F4153"/>
    <w:rsid w:val="00100BAD"/>
    <w:rsid w:val="001064CC"/>
    <w:rsid w:val="0010796E"/>
    <w:rsid w:val="0012043E"/>
    <w:rsid w:val="001242F2"/>
    <w:rsid w:val="001348B6"/>
    <w:rsid w:val="001371DC"/>
    <w:rsid w:val="00157974"/>
    <w:rsid w:val="001A28BC"/>
    <w:rsid w:val="001B371E"/>
    <w:rsid w:val="001B6317"/>
    <w:rsid w:val="001B71EB"/>
    <w:rsid w:val="001C0FF8"/>
    <w:rsid w:val="001D0A07"/>
    <w:rsid w:val="001D0C3D"/>
    <w:rsid w:val="001F3429"/>
    <w:rsid w:val="001F4958"/>
    <w:rsid w:val="00207C4B"/>
    <w:rsid w:val="00223238"/>
    <w:rsid w:val="00223DD4"/>
    <w:rsid w:val="00226E26"/>
    <w:rsid w:val="00244607"/>
    <w:rsid w:val="0024592E"/>
    <w:rsid w:val="00250591"/>
    <w:rsid w:val="00292635"/>
    <w:rsid w:val="00297C46"/>
    <w:rsid w:val="002B5568"/>
    <w:rsid w:val="002D1824"/>
    <w:rsid w:val="002E6239"/>
    <w:rsid w:val="002E7C68"/>
    <w:rsid w:val="002F15CB"/>
    <w:rsid w:val="002F64C6"/>
    <w:rsid w:val="003019C9"/>
    <w:rsid w:val="00315F59"/>
    <w:rsid w:val="003249F6"/>
    <w:rsid w:val="00356EAB"/>
    <w:rsid w:val="00360C30"/>
    <w:rsid w:val="003620AE"/>
    <w:rsid w:val="00362444"/>
    <w:rsid w:val="00363E27"/>
    <w:rsid w:val="00376528"/>
    <w:rsid w:val="00385765"/>
    <w:rsid w:val="003947D8"/>
    <w:rsid w:val="003A55D1"/>
    <w:rsid w:val="003A5E42"/>
    <w:rsid w:val="003A69D0"/>
    <w:rsid w:val="003B7963"/>
    <w:rsid w:val="003B7982"/>
    <w:rsid w:val="003D2820"/>
    <w:rsid w:val="003E0C6F"/>
    <w:rsid w:val="003E619C"/>
    <w:rsid w:val="003E6A89"/>
    <w:rsid w:val="00401789"/>
    <w:rsid w:val="00423C03"/>
    <w:rsid w:val="0043328A"/>
    <w:rsid w:val="00457B47"/>
    <w:rsid w:val="00465517"/>
    <w:rsid w:val="004659D5"/>
    <w:rsid w:val="00495D98"/>
    <w:rsid w:val="004968D3"/>
    <w:rsid w:val="00496D69"/>
    <w:rsid w:val="004B297F"/>
    <w:rsid w:val="004C1872"/>
    <w:rsid w:val="004C6C29"/>
    <w:rsid w:val="004D08EB"/>
    <w:rsid w:val="004D5819"/>
    <w:rsid w:val="004D73D9"/>
    <w:rsid w:val="004E44D9"/>
    <w:rsid w:val="004F67E0"/>
    <w:rsid w:val="0050402C"/>
    <w:rsid w:val="00523AAF"/>
    <w:rsid w:val="005319EC"/>
    <w:rsid w:val="00581C3F"/>
    <w:rsid w:val="005928F9"/>
    <w:rsid w:val="005B4154"/>
    <w:rsid w:val="005D3BB7"/>
    <w:rsid w:val="005F400A"/>
    <w:rsid w:val="005F7B16"/>
    <w:rsid w:val="0060255F"/>
    <w:rsid w:val="00602D91"/>
    <w:rsid w:val="006344B3"/>
    <w:rsid w:val="006455BA"/>
    <w:rsid w:val="00650E5A"/>
    <w:rsid w:val="00666692"/>
    <w:rsid w:val="006755DA"/>
    <w:rsid w:val="006855AE"/>
    <w:rsid w:val="006935E0"/>
    <w:rsid w:val="00694E51"/>
    <w:rsid w:val="006B0242"/>
    <w:rsid w:val="006D397C"/>
    <w:rsid w:val="006E5B0F"/>
    <w:rsid w:val="0071130B"/>
    <w:rsid w:val="00717A82"/>
    <w:rsid w:val="00754E04"/>
    <w:rsid w:val="00765899"/>
    <w:rsid w:val="00767FA5"/>
    <w:rsid w:val="0077081F"/>
    <w:rsid w:val="00777373"/>
    <w:rsid w:val="007930FD"/>
    <w:rsid w:val="007B6177"/>
    <w:rsid w:val="007B6BB4"/>
    <w:rsid w:val="007C3939"/>
    <w:rsid w:val="007D3F58"/>
    <w:rsid w:val="007D691C"/>
    <w:rsid w:val="007D78F2"/>
    <w:rsid w:val="007E3B21"/>
    <w:rsid w:val="008019B9"/>
    <w:rsid w:val="00805BDC"/>
    <w:rsid w:val="00810BC2"/>
    <w:rsid w:val="00811F5B"/>
    <w:rsid w:val="008126C9"/>
    <w:rsid w:val="00825699"/>
    <w:rsid w:val="0083077D"/>
    <w:rsid w:val="00831E71"/>
    <w:rsid w:val="00834326"/>
    <w:rsid w:val="008514D3"/>
    <w:rsid w:val="008570F4"/>
    <w:rsid w:val="008576D6"/>
    <w:rsid w:val="00860604"/>
    <w:rsid w:val="00866C16"/>
    <w:rsid w:val="00873E0E"/>
    <w:rsid w:val="00886DA5"/>
    <w:rsid w:val="00893D44"/>
    <w:rsid w:val="008B5758"/>
    <w:rsid w:val="008C2D2F"/>
    <w:rsid w:val="008C3523"/>
    <w:rsid w:val="008D2505"/>
    <w:rsid w:val="008D3A98"/>
    <w:rsid w:val="008D5AC7"/>
    <w:rsid w:val="008D6C50"/>
    <w:rsid w:val="008D7505"/>
    <w:rsid w:val="008F1D67"/>
    <w:rsid w:val="00900AAD"/>
    <w:rsid w:val="00910D71"/>
    <w:rsid w:val="00924AF5"/>
    <w:rsid w:val="0094650C"/>
    <w:rsid w:val="00946B5E"/>
    <w:rsid w:val="00946BC6"/>
    <w:rsid w:val="009475C0"/>
    <w:rsid w:val="00951A17"/>
    <w:rsid w:val="00955E9C"/>
    <w:rsid w:val="009577B6"/>
    <w:rsid w:val="009617AE"/>
    <w:rsid w:val="00971BE3"/>
    <w:rsid w:val="00973161"/>
    <w:rsid w:val="00974F1A"/>
    <w:rsid w:val="009772F6"/>
    <w:rsid w:val="009833D1"/>
    <w:rsid w:val="00983809"/>
    <w:rsid w:val="00990A99"/>
    <w:rsid w:val="009A46F9"/>
    <w:rsid w:val="009B0B7A"/>
    <w:rsid w:val="009B7C73"/>
    <w:rsid w:val="009D3406"/>
    <w:rsid w:val="009F0910"/>
    <w:rsid w:val="009F40A2"/>
    <w:rsid w:val="009F69DB"/>
    <w:rsid w:val="00A0461B"/>
    <w:rsid w:val="00A151FA"/>
    <w:rsid w:val="00A25B61"/>
    <w:rsid w:val="00A36B4A"/>
    <w:rsid w:val="00A373CE"/>
    <w:rsid w:val="00A50A86"/>
    <w:rsid w:val="00A5666B"/>
    <w:rsid w:val="00A6667F"/>
    <w:rsid w:val="00A66B6B"/>
    <w:rsid w:val="00A70E01"/>
    <w:rsid w:val="00A80F26"/>
    <w:rsid w:val="00A8377A"/>
    <w:rsid w:val="00AD368D"/>
    <w:rsid w:val="00AD69BC"/>
    <w:rsid w:val="00AE4641"/>
    <w:rsid w:val="00AF6A88"/>
    <w:rsid w:val="00AF7BAA"/>
    <w:rsid w:val="00B01AC4"/>
    <w:rsid w:val="00B14C21"/>
    <w:rsid w:val="00B26C61"/>
    <w:rsid w:val="00B36170"/>
    <w:rsid w:val="00B401AB"/>
    <w:rsid w:val="00B41FCE"/>
    <w:rsid w:val="00B52A39"/>
    <w:rsid w:val="00B56B50"/>
    <w:rsid w:val="00B60803"/>
    <w:rsid w:val="00B65552"/>
    <w:rsid w:val="00B70B90"/>
    <w:rsid w:val="00B7491F"/>
    <w:rsid w:val="00B7793F"/>
    <w:rsid w:val="00B9508D"/>
    <w:rsid w:val="00BA303D"/>
    <w:rsid w:val="00BA68BF"/>
    <w:rsid w:val="00BA7E02"/>
    <w:rsid w:val="00BC391E"/>
    <w:rsid w:val="00C0180A"/>
    <w:rsid w:val="00C04FDB"/>
    <w:rsid w:val="00C1720A"/>
    <w:rsid w:val="00C27236"/>
    <w:rsid w:val="00C3668E"/>
    <w:rsid w:val="00C451FA"/>
    <w:rsid w:val="00C57E91"/>
    <w:rsid w:val="00C61684"/>
    <w:rsid w:val="00C71851"/>
    <w:rsid w:val="00C74D3B"/>
    <w:rsid w:val="00C8231A"/>
    <w:rsid w:val="00C90C63"/>
    <w:rsid w:val="00CA0DBA"/>
    <w:rsid w:val="00CB78DA"/>
    <w:rsid w:val="00CC2041"/>
    <w:rsid w:val="00CD582A"/>
    <w:rsid w:val="00CE4FA6"/>
    <w:rsid w:val="00CE7261"/>
    <w:rsid w:val="00CF650D"/>
    <w:rsid w:val="00D0463B"/>
    <w:rsid w:val="00D063C3"/>
    <w:rsid w:val="00D15537"/>
    <w:rsid w:val="00D161A6"/>
    <w:rsid w:val="00D2677A"/>
    <w:rsid w:val="00D32E61"/>
    <w:rsid w:val="00D33F0C"/>
    <w:rsid w:val="00D34FD1"/>
    <w:rsid w:val="00D42540"/>
    <w:rsid w:val="00D44EE6"/>
    <w:rsid w:val="00D50EE8"/>
    <w:rsid w:val="00D51E77"/>
    <w:rsid w:val="00D55684"/>
    <w:rsid w:val="00D6334B"/>
    <w:rsid w:val="00D66A32"/>
    <w:rsid w:val="00D7457A"/>
    <w:rsid w:val="00D76AFA"/>
    <w:rsid w:val="00D81BA8"/>
    <w:rsid w:val="00D86A82"/>
    <w:rsid w:val="00D9790B"/>
    <w:rsid w:val="00DA35D1"/>
    <w:rsid w:val="00DA5477"/>
    <w:rsid w:val="00DB2565"/>
    <w:rsid w:val="00DE15EA"/>
    <w:rsid w:val="00DF3286"/>
    <w:rsid w:val="00DF4652"/>
    <w:rsid w:val="00E33C11"/>
    <w:rsid w:val="00E52EAE"/>
    <w:rsid w:val="00E74628"/>
    <w:rsid w:val="00EB1953"/>
    <w:rsid w:val="00EB29A8"/>
    <w:rsid w:val="00EB4383"/>
    <w:rsid w:val="00EB55F2"/>
    <w:rsid w:val="00EB7ED5"/>
    <w:rsid w:val="00ED3F3C"/>
    <w:rsid w:val="00EE533B"/>
    <w:rsid w:val="00EE75B8"/>
    <w:rsid w:val="00EF61BA"/>
    <w:rsid w:val="00EF6470"/>
    <w:rsid w:val="00F0001D"/>
    <w:rsid w:val="00F039B3"/>
    <w:rsid w:val="00F1113C"/>
    <w:rsid w:val="00F17081"/>
    <w:rsid w:val="00F27E71"/>
    <w:rsid w:val="00F35811"/>
    <w:rsid w:val="00F54505"/>
    <w:rsid w:val="00F565ED"/>
    <w:rsid w:val="00F571C7"/>
    <w:rsid w:val="00F83E3E"/>
    <w:rsid w:val="00F86440"/>
    <w:rsid w:val="00F90CA2"/>
    <w:rsid w:val="00F93162"/>
    <w:rsid w:val="00FA25DF"/>
    <w:rsid w:val="00FC4ACA"/>
    <w:rsid w:val="00FD7C2F"/>
    <w:rsid w:val="00FE0838"/>
    <w:rsid w:val="00FE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6881"/>
  <w15:chartTrackingRefBased/>
  <w15:docId w15:val="{43BBC6BE-8A5C-41C1-B8F3-D6390E55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4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0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C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C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C6F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419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C6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41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C6F"/>
    <w:rPr>
      <w:rFonts w:eastAsiaTheme="majorEastAsia" w:cstheme="majorBidi"/>
      <w:color w:val="0F4761" w:themeColor="accent1" w:themeShade="BF"/>
      <w:sz w:val="28"/>
      <w:szCs w:val="28"/>
      <w:lang w:val="es-41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C6F"/>
    <w:rPr>
      <w:rFonts w:eastAsiaTheme="majorEastAsia" w:cstheme="majorBidi"/>
      <w:i/>
      <w:iCs/>
      <w:color w:val="0F4761" w:themeColor="accent1" w:themeShade="BF"/>
      <w:lang w:val="es-41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C6F"/>
    <w:rPr>
      <w:rFonts w:eastAsiaTheme="majorEastAsia" w:cstheme="majorBidi"/>
      <w:color w:val="0F4761" w:themeColor="accent1" w:themeShade="BF"/>
      <w:lang w:val="es-419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C6F"/>
    <w:rPr>
      <w:rFonts w:eastAsiaTheme="majorEastAsia" w:cstheme="majorBidi"/>
      <w:i/>
      <w:iCs/>
      <w:color w:val="595959" w:themeColor="text1" w:themeTint="A6"/>
      <w:lang w:val="es-419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C6F"/>
    <w:rPr>
      <w:rFonts w:eastAsiaTheme="majorEastAsia" w:cstheme="majorBidi"/>
      <w:color w:val="595959" w:themeColor="text1" w:themeTint="A6"/>
      <w:lang w:val="es-419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C6F"/>
    <w:rPr>
      <w:rFonts w:eastAsiaTheme="majorEastAsia" w:cstheme="majorBidi"/>
      <w:i/>
      <w:iCs/>
      <w:color w:val="272727" w:themeColor="text1" w:themeTint="D8"/>
      <w:lang w:val="es-419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C6F"/>
    <w:rPr>
      <w:rFonts w:eastAsiaTheme="majorEastAsia" w:cstheme="majorBidi"/>
      <w:color w:val="272727" w:themeColor="text1" w:themeTint="D8"/>
      <w:lang w:val="es-419"/>
    </w:rPr>
  </w:style>
  <w:style w:type="paragraph" w:styleId="Title">
    <w:name w:val="Title"/>
    <w:basedOn w:val="Normal"/>
    <w:next w:val="Normal"/>
    <w:link w:val="TitleChar"/>
    <w:uiPriority w:val="10"/>
    <w:qFormat/>
    <w:rsid w:val="003E0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C6F"/>
    <w:rPr>
      <w:rFonts w:asciiTheme="majorHAnsi" w:eastAsiaTheme="majorEastAsia" w:hAnsiTheme="majorHAnsi" w:cstheme="majorBidi"/>
      <w:spacing w:val="-10"/>
      <w:kern w:val="28"/>
      <w:sz w:val="56"/>
      <w:szCs w:val="56"/>
      <w:lang w:val="es-419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C6F"/>
    <w:rPr>
      <w:rFonts w:eastAsiaTheme="majorEastAsia" w:cstheme="majorBidi"/>
      <w:color w:val="595959" w:themeColor="text1" w:themeTint="A6"/>
      <w:spacing w:val="15"/>
      <w:sz w:val="28"/>
      <w:szCs w:val="28"/>
      <w:lang w:val="es-419"/>
    </w:rPr>
  </w:style>
  <w:style w:type="paragraph" w:styleId="Quote">
    <w:name w:val="Quote"/>
    <w:basedOn w:val="Normal"/>
    <w:next w:val="Normal"/>
    <w:link w:val="QuoteChar"/>
    <w:uiPriority w:val="29"/>
    <w:qFormat/>
    <w:rsid w:val="003E0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C6F"/>
    <w:rPr>
      <w:i/>
      <w:iCs/>
      <w:color w:val="404040" w:themeColor="text1" w:themeTint="BF"/>
      <w:lang w:val="es-419"/>
    </w:rPr>
  </w:style>
  <w:style w:type="paragraph" w:styleId="ListParagraph">
    <w:name w:val="List Paragraph"/>
    <w:basedOn w:val="Normal"/>
    <w:uiPriority w:val="34"/>
    <w:qFormat/>
    <w:rsid w:val="003E0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C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C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C6F"/>
    <w:rPr>
      <w:i/>
      <w:iCs/>
      <w:color w:val="0F4761" w:themeColor="accent1" w:themeShade="BF"/>
      <w:lang w:val="es-419"/>
    </w:rPr>
  </w:style>
  <w:style w:type="character" w:styleId="IntenseReference">
    <w:name w:val="Intense Reference"/>
    <w:basedOn w:val="DefaultParagraphFont"/>
    <w:uiPriority w:val="32"/>
    <w:qFormat/>
    <w:rsid w:val="003E0C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54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0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A86"/>
    <w:rPr>
      <w:lang w:val="es-419"/>
    </w:rPr>
  </w:style>
  <w:style w:type="paragraph" w:styleId="Footer">
    <w:name w:val="footer"/>
    <w:basedOn w:val="Normal"/>
    <w:link w:val="FooterChar"/>
    <w:uiPriority w:val="99"/>
    <w:unhideWhenUsed/>
    <w:rsid w:val="00A50A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A86"/>
    <w:rPr>
      <w:lang w:val="es-419"/>
    </w:rPr>
  </w:style>
  <w:style w:type="character" w:styleId="CommentReference">
    <w:name w:val="annotation reference"/>
    <w:basedOn w:val="DefaultParagraphFont"/>
    <w:uiPriority w:val="99"/>
    <w:semiHidden/>
    <w:unhideWhenUsed/>
    <w:rsid w:val="005319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9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9EC"/>
    <w:rPr>
      <w:sz w:val="20"/>
      <w:szCs w:val="20"/>
      <w:lang w:val="es-4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9EC"/>
    <w:rPr>
      <w:b/>
      <w:bCs/>
      <w:sz w:val="20"/>
      <w:szCs w:val="20"/>
      <w:lang w:val="es-4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9EC"/>
    <w:rPr>
      <w:rFonts w:ascii="Segoe UI" w:hAnsi="Segoe UI" w:cs="Segoe UI"/>
      <w:sz w:val="18"/>
      <w:szCs w:val="18"/>
      <w:lang w:val="es-419"/>
    </w:rPr>
  </w:style>
  <w:style w:type="paragraph" w:styleId="Revision">
    <w:name w:val="Revision"/>
    <w:hidden/>
    <w:uiPriority w:val="99"/>
    <w:semiHidden/>
    <w:rsid w:val="00AF7BAA"/>
    <w:pPr>
      <w:spacing w:after="0" w:line="240" w:lineRule="auto"/>
    </w:pPr>
    <w:rPr>
      <w:lang w:val="es-4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46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4628"/>
    <w:rPr>
      <w:sz w:val="20"/>
      <w:szCs w:val="20"/>
      <w:lang w:val="es-419"/>
    </w:rPr>
  </w:style>
  <w:style w:type="character" w:styleId="FootnoteReference">
    <w:name w:val="footnote reference"/>
    <w:basedOn w:val="DefaultParagraphFont"/>
    <w:uiPriority w:val="99"/>
    <w:semiHidden/>
    <w:unhideWhenUsed/>
    <w:rsid w:val="00E7462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B5758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B575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65E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scuba.net/economia/actores-no-estatales-en-cuba-un-potencial-desaprovechad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9a0be4-ff3e-473c-86dd-5f7ef438f03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EC8C6616979F4596D75257DB348F88" ma:contentTypeVersion="15" ma:contentTypeDescription="Create a new document." ma:contentTypeScope="" ma:versionID="c067e014e64f61c0f2277319ba076c76">
  <xsd:schema xmlns:xsd="http://www.w3.org/2001/XMLSchema" xmlns:xs="http://www.w3.org/2001/XMLSchema" xmlns:p="http://schemas.microsoft.com/office/2006/metadata/properties" xmlns:ns3="659a0be4-ff3e-473c-86dd-5f7ef438f035" xmlns:ns4="124b187e-bb64-4529-b46e-75d35131c9d0" targetNamespace="http://schemas.microsoft.com/office/2006/metadata/properties" ma:root="true" ma:fieldsID="d519d3d76ea3c046fe03402e6b2c1248" ns3:_="" ns4:_="">
    <xsd:import namespace="659a0be4-ff3e-473c-86dd-5f7ef438f035"/>
    <xsd:import namespace="124b187e-bb64-4529-b46e-75d35131c9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0be4-ff3e-473c-86dd-5f7ef438f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b187e-bb64-4529-b46e-75d35131c9d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AECFD-90A4-4716-9D7B-09378349162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24b187e-bb64-4529-b46e-75d35131c9d0"/>
    <ds:schemaRef ds:uri="659a0be4-ff3e-473c-86dd-5f7ef438f03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1DF3342-BEDD-475E-BCDE-A35DC91EA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0be4-ff3e-473c-86dd-5f7ef438f035"/>
    <ds:schemaRef ds:uri="124b187e-bb64-4529-b46e-75d35131c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2A16CA-065C-460E-871B-4C16306F2A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63601-467E-4C62-816C-68C9D02F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1604</Words>
  <Characters>9147</Characters>
  <Application>Microsoft Office Word</Application>
  <DocSecurity>4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Lage Codorniu</dc:creator>
  <cp:keywords/>
  <dc:description/>
  <cp:lastModifiedBy>SAUERBAUM Philip (EEAS-HAVANA)</cp:lastModifiedBy>
  <cp:revision>2</cp:revision>
  <dcterms:created xsi:type="dcterms:W3CDTF">2025-04-04T15:13:00Z</dcterms:created>
  <dcterms:modified xsi:type="dcterms:W3CDTF">2025-04-04T15:13:00Z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0x010100E5EC8C6616979F4596D75257DB348F88</vt:lpwstr>
  </property>
</Properties>
</file>